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益高委乡振组办发〔2022〕6号</w:t>
      </w: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left"/>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关于下达2022年财政衔接推进乡村振兴补助资金项目计划的通知</w:t>
      </w:r>
    </w:p>
    <w:p>
      <w:pPr>
        <w:keepNext w:val="0"/>
        <w:keepLines w:val="0"/>
        <w:pageBreakBefore w:val="0"/>
        <w:widowControl w:val="0"/>
        <w:kinsoku/>
        <w:wordWrap/>
        <w:overflowPunct/>
        <w:topLinePunct w:val="0"/>
        <w:autoSpaceDE/>
        <w:autoSpaceDN/>
        <w:bidi w:val="0"/>
        <w:adjustRightInd/>
        <w:snapToGrid/>
        <w:spacing w:line="590" w:lineRule="exact"/>
        <w:ind w:left="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谢林港镇、鱼形山街道办事处，区属相关单位：</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按照中央、省《衔接推进乡村振兴补助资金管理办法》相关规定，经区工委实施乡村振兴战略领导小组同意，现将2022年省级财政衔接推进乡村振兴补助资金项目计划安排给你们，各责任单位要紧紧围绕实现巩固拓展脱贫攻坚成果同乡村振兴有效衔接目标和任务，严格按照有关规定，切实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使用方向。本次下达的财政衔接推进乡村振兴补助资金项目计划主要为配套基础设施项目和乡村建设行动农村基础设施项目建设。责任单位要进一步核实核准实施项目可行性、建设规模、建设内容和项目风险可控等。严格遵照《资金项目管理操作指南》，实现预期绩效目标；提高财政</w:t>
      </w:r>
      <w:bookmarkStart w:id="0" w:name="_GoBack"/>
      <w:bookmarkEnd w:id="0"/>
      <w:r>
        <w:rPr>
          <w:rFonts w:hint="eastAsia" w:ascii="方正仿宋_GB2312" w:hAnsi="方正仿宋_GB2312" w:eastAsia="方正仿宋_GB2312" w:cs="方正仿宋_GB2312"/>
          <w:sz w:val="32"/>
          <w:szCs w:val="32"/>
          <w:lang w:val="en-US" w:eastAsia="zh-CN"/>
        </w:rPr>
        <w:t>衔接资金使用效益，确保资金安全运行。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二、资金来源。湘振局发〔2022〕177号文件下达我区的省级财政衔接推进乡村振兴补助资金11万元，以及益高财预〔2022〕8号文件下达区预算推进乡村振兴补助资金150万元。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三、资金安排。</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（一）湘财预〔2022〕177号文件下达我区的中央财政衔接推进乡村振兴补助资金11万元省级财政衔接资金安排用于谢林港镇清溪村乡村振兴数字乡村示范创建项目。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（二）益高财预〔2022〕8号文件下达区预算推进乡村振兴补助资金150万元用于谢林港镇美丽乡村示范创建项目。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申报程序。按照资金计划安排，谢林港镇务必于8月25日前从项目库中选定相应实施项目，完善相关资料上报区工委实施乡村振兴战略领导小组办公室审定；项目责任单位要及时组织编制项目实施方案，积极组织项目实施，加快执行进度，切实强化资金监管，专款专用，对拟确定的项目需按衔接资金使用要求组织前期可行性调查后方可可使用衔接资金，以确保资金使用安全；严禁挤占、挪用、滞留，确保资金精准、安全、规范、高效使用。实施方案要明确项目概况、施工内容、项目概算、绩效目标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五、资金监督。镇（街道）、村级各责任单位对项目实施情况要列入常态化监管内容，并纳入工作考核范围，对项目实施不重视、责任不落实、管理不到位、项目实施效率低、安全责任落实不到位等情况，将按相关文件规定对相关责任人予以追责。</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附件：1.益阳高新区2022年财政衔接推进乡村振兴补助资</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1600" w:firstLineChars="5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金计划明细表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50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2.益阳高新区2022年财政衔接推进乡村振兴补助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500"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资金项目计划实施申报表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210" w:rightChars="100" w:firstLine="2880" w:firstLineChars="900"/>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中共益阳高新区工委</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210" w:rightChars="100" w:firstLine="2880" w:firstLineChars="9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实施乡村振兴战略领导小组办公室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firstLine="5120" w:firstLineChars="16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2022年8月20日</w:t>
      </w:r>
    </w:p>
    <w:p>
      <w:pPr>
        <w:widowControl w:val="0"/>
        <w:numPr>
          <w:ilvl w:val="0"/>
          <w:numId w:val="0"/>
        </w:numPr>
        <w:jc w:val="both"/>
        <w:rPr>
          <w:rFonts w:hint="default" w:ascii="仿宋_GB2312" w:hAnsi="仿宋_GB2312" w:eastAsia="仿宋_GB2312" w:cs="仿宋_GB2312"/>
          <w:sz w:val="32"/>
          <w:szCs w:val="32"/>
          <w:lang w:val="en-US" w:eastAsia="zh-CN"/>
        </w:rPr>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pPr>
        <w:numPr>
          <w:ilvl w:val="0"/>
          <w:numId w:val="0"/>
        </w:num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numPr>
          <w:ilvl w:val="0"/>
          <w:numId w:val="0"/>
        </w:numPr>
        <w:jc w:val="center"/>
        <w:rPr>
          <w:rFonts w:hint="eastAsia" w:ascii="仿宋_GB2312" w:hAnsi="仿宋_GB2312" w:eastAsia="仿宋_GB2312" w:cs="仿宋_GB2312"/>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益阳高新区2022年财政衔接推进乡村振兴补助资金项目计划明细表</w:t>
      </w:r>
    </w:p>
    <w:tbl>
      <w:tblPr>
        <w:tblStyle w:val="5"/>
        <w:tblpPr w:leftFromText="180" w:rightFromText="180" w:vertAnchor="text" w:tblpX="-569" w:tblpY="1"/>
        <w:tblOverlap w:val="never"/>
        <w:tblW w:w="15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75"/>
        <w:gridCol w:w="750"/>
        <w:gridCol w:w="1485"/>
        <w:gridCol w:w="2040"/>
        <w:gridCol w:w="2565"/>
        <w:gridCol w:w="1335"/>
        <w:gridCol w:w="1350"/>
        <w:gridCol w:w="147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5" w:type="dxa"/>
            <w:vMerge w:val="restart"/>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序号</w:t>
            </w:r>
          </w:p>
        </w:tc>
        <w:tc>
          <w:tcPr>
            <w:tcW w:w="1575" w:type="dxa"/>
            <w:vMerge w:val="restart"/>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项目</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名称</w:t>
            </w:r>
          </w:p>
        </w:tc>
        <w:tc>
          <w:tcPr>
            <w:tcW w:w="750" w:type="dxa"/>
            <w:vMerge w:val="restart"/>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建设任务</w:t>
            </w:r>
          </w:p>
        </w:tc>
        <w:tc>
          <w:tcPr>
            <w:tcW w:w="1485" w:type="dxa"/>
            <w:vMerge w:val="restart"/>
            <w:vAlign w:val="center"/>
          </w:tcPr>
          <w:p>
            <w:pPr>
              <w:numPr>
                <w:ilvl w:val="0"/>
                <w:numId w:val="0"/>
              </w:numPr>
              <w:jc w:val="both"/>
              <w:rPr>
                <w:rFonts w:hint="eastAsia" w:ascii="仿宋_GB2312" w:hAnsi="仿宋_GB2312" w:eastAsia="仿宋_GB2312" w:cs="仿宋_GB2312"/>
                <w:b w:val="0"/>
                <w:bCs w:val="0"/>
                <w:sz w:val="20"/>
                <w:szCs w:val="20"/>
                <w:vertAlign w:val="baseline"/>
                <w:lang w:val="en-US" w:eastAsia="zh-CN"/>
              </w:rPr>
            </w:pP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实施地点</w:t>
            </w:r>
          </w:p>
        </w:tc>
        <w:tc>
          <w:tcPr>
            <w:tcW w:w="2040" w:type="dxa"/>
            <w:vMerge w:val="restart"/>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补助金额</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（万元）</w:t>
            </w:r>
          </w:p>
        </w:tc>
        <w:tc>
          <w:tcPr>
            <w:tcW w:w="2565" w:type="dxa"/>
            <w:vMerge w:val="restart"/>
            <w:vAlign w:val="center"/>
          </w:tcPr>
          <w:p>
            <w:pPr>
              <w:numPr>
                <w:ilvl w:val="0"/>
                <w:numId w:val="0"/>
              </w:numPr>
              <w:ind w:firstLine="1200" w:firstLineChars="600"/>
              <w:jc w:val="both"/>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绩效目标</w:t>
            </w:r>
          </w:p>
          <w:p>
            <w:pPr>
              <w:numPr>
                <w:ilvl w:val="0"/>
                <w:numId w:val="0"/>
              </w:numPr>
              <w:ind w:firstLine="400" w:firstLineChars="200"/>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（进度计划）</w:t>
            </w:r>
          </w:p>
        </w:tc>
        <w:tc>
          <w:tcPr>
            <w:tcW w:w="2685" w:type="dxa"/>
            <w:gridSpan w:val="2"/>
            <w:vAlign w:val="center"/>
          </w:tcPr>
          <w:p>
            <w:pPr>
              <w:numPr>
                <w:ilvl w:val="0"/>
                <w:numId w:val="0"/>
              </w:numPr>
              <w:ind w:firstLine="800" w:firstLineChars="400"/>
              <w:jc w:val="both"/>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时间进度</w:t>
            </w:r>
          </w:p>
        </w:tc>
        <w:tc>
          <w:tcPr>
            <w:tcW w:w="3570" w:type="dxa"/>
            <w:gridSpan w:val="2"/>
            <w:vAlign w:val="center"/>
          </w:tcPr>
          <w:p>
            <w:pPr>
              <w:numPr>
                <w:ilvl w:val="0"/>
                <w:numId w:val="0"/>
              </w:numPr>
              <w:ind w:firstLine="600" w:firstLineChars="300"/>
              <w:jc w:val="both"/>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1575"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750"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1485"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2040"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2565" w:type="dxa"/>
            <w:vMerge w:val="continue"/>
            <w:vAlign w:val="center"/>
          </w:tcPr>
          <w:p>
            <w:pPr>
              <w:numPr>
                <w:ilvl w:val="0"/>
                <w:numId w:val="0"/>
              </w:numPr>
              <w:jc w:val="both"/>
              <w:rPr>
                <w:rFonts w:hint="default" w:ascii="仿宋_GB2312" w:hAnsi="仿宋_GB2312" w:eastAsia="仿宋_GB2312" w:cs="仿宋_GB2312"/>
                <w:b w:val="0"/>
                <w:bCs w:val="0"/>
                <w:sz w:val="20"/>
                <w:szCs w:val="20"/>
                <w:vertAlign w:val="baseline"/>
                <w:lang w:val="en-US" w:eastAsia="zh-CN"/>
              </w:rPr>
            </w:pPr>
          </w:p>
        </w:tc>
        <w:tc>
          <w:tcPr>
            <w:tcW w:w="1335"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计划开工</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时间</w:t>
            </w:r>
          </w:p>
        </w:tc>
        <w:tc>
          <w:tcPr>
            <w:tcW w:w="135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计划完工</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时间</w:t>
            </w:r>
          </w:p>
        </w:tc>
        <w:tc>
          <w:tcPr>
            <w:tcW w:w="147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项目主管</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单位</w:t>
            </w:r>
          </w:p>
        </w:tc>
        <w:tc>
          <w:tcPr>
            <w:tcW w:w="210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项目组织</w:t>
            </w:r>
          </w:p>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1</w:t>
            </w:r>
          </w:p>
        </w:tc>
        <w:tc>
          <w:tcPr>
            <w:tcW w:w="157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谢林港镇清溪村乡村振兴数字创建项目</w:t>
            </w:r>
          </w:p>
        </w:tc>
        <w:tc>
          <w:tcPr>
            <w:tcW w:w="75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48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谢林港镇清溪村</w:t>
            </w:r>
          </w:p>
        </w:tc>
        <w:tc>
          <w:tcPr>
            <w:tcW w:w="204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11（省级资金）</w:t>
            </w:r>
          </w:p>
        </w:tc>
        <w:tc>
          <w:tcPr>
            <w:tcW w:w="256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通过项目实施完成急需解决基础设施</w:t>
            </w:r>
          </w:p>
        </w:tc>
        <w:tc>
          <w:tcPr>
            <w:tcW w:w="133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2022年6月</w:t>
            </w:r>
          </w:p>
        </w:tc>
        <w:tc>
          <w:tcPr>
            <w:tcW w:w="135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2022年9月</w:t>
            </w:r>
          </w:p>
        </w:tc>
        <w:tc>
          <w:tcPr>
            <w:tcW w:w="147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w:t>
            </w:r>
          </w:p>
        </w:tc>
        <w:tc>
          <w:tcPr>
            <w:tcW w:w="210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清溪村村民委员会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2</w:t>
            </w:r>
          </w:p>
        </w:tc>
        <w:tc>
          <w:tcPr>
            <w:tcW w:w="157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玉皇庙村双宗堂组至下只屋组公路扩宽提质改造工程</w:t>
            </w:r>
          </w:p>
        </w:tc>
        <w:tc>
          <w:tcPr>
            <w:tcW w:w="75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48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谢林港镇玉皇庙村</w:t>
            </w:r>
          </w:p>
        </w:tc>
        <w:tc>
          <w:tcPr>
            <w:tcW w:w="204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45（区级衔接资金）</w:t>
            </w:r>
          </w:p>
        </w:tc>
        <w:tc>
          <w:tcPr>
            <w:tcW w:w="256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改善人居环境</w:t>
            </w:r>
          </w:p>
        </w:tc>
        <w:tc>
          <w:tcPr>
            <w:tcW w:w="1335" w:type="dxa"/>
            <w:vAlign w:val="center"/>
          </w:tcPr>
          <w:p>
            <w:pPr>
              <w:numPr>
                <w:ilvl w:val="0"/>
                <w:numId w:val="0"/>
              </w:numPr>
              <w:ind w:left="0" w:leftChars="0" w:firstLine="0" w:firstLineChars="0"/>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2022年8月</w:t>
            </w:r>
          </w:p>
        </w:tc>
        <w:tc>
          <w:tcPr>
            <w:tcW w:w="1350" w:type="dxa"/>
            <w:vAlign w:val="center"/>
          </w:tcPr>
          <w:p>
            <w:pPr>
              <w:numPr>
                <w:ilvl w:val="0"/>
                <w:numId w:val="0"/>
              </w:numPr>
              <w:ind w:left="0" w:leftChars="0" w:firstLine="0" w:firstLineChars="0"/>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2022年10月</w:t>
            </w:r>
          </w:p>
        </w:tc>
        <w:tc>
          <w:tcPr>
            <w:tcW w:w="147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w:t>
            </w:r>
          </w:p>
        </w:tc>
        <w:tc>
          <w:tcPr>
            <w:tcW w:w="210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玉皇庙村村民委员会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3</w:t>
            </w:r>
          </w:p>
        </w:tc>
        <w:tc>
          <w:tcPr>
            <w:tcW w:w="157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玉皇庙村村民服务中心周边环境提升工程项目</w:t>
            </w:r>
          </w:p>
        </w:tc>
        <w:tc>
          <w:tcPr>
            <w:tcW w:w="75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48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谢林港镇玉皇庙村</w:t>
            </w:r>
          </w:p>
        </w:tc>
        <w:tc>
          <w:tcPr>
            <w:tcW w:w="204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50（区级衔接资金）</w:t>
            </w:r>
          </w:p>
        </w:tc>
        <w:tc>
          <w:tcPr>
            <w:tcW w:w="256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促进全村综治维稳，促进村级事务管理，提供幸福感。</w:t>
            </w:r>
          </w:p>
        </w:tc>
        <w:tc>
          <w:tcPr>
            <w:tcW w:w="1335" w:type="dxa"/>
            <w:vAlign w:val="center"/>
          </w:tcPr>
          <w:p>
            <w:pPr>
              <w:numPr>
                <w:ilvl w:val="0"/>
                <w:numId w:val="0"/>
              </w:numPr>
              <w:ind w:left="0" w:leftChars="0" w:firstLine="0" w:firstLineChars="0"/>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2022年9月</w:t>
            </w:r>
          </w:p>
        </w:tc>
        <w:tc>
          <w:tcPr>
            <w:tcW w:w="1350" w:type="dxa"/>
            <w:vAlign w:val="center"/>
          </w:tcPr>
          <w:p>
            <w:pPr>
              <w:numPr>
                <w:ilvl w:val="0"/>
                <w:numId w:val="0"/>
              </w:numPr>
              <w:ind w:left="0" w:leftChars="0" w:firstLine="0" w:firstLineChars="0"/>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2022年11月</w:t>
            </w:r>
          </w:p>
        </w:tc>
        <w:tc>
          <w:tcPr>
            <w:tcW w:w="147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w:t>
            </w:r>
          </w:p>
        </w:tc>
        <w:tc>
          <w:tcPr>
            <w:tcW w:w="210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玉皇庙村村民委员会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9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4</w:t>
            </w:r>
          </w:p>
        </w:tc>
        <w:tc>
          <w:tcPr>
            <w:tcW w:w="157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玉皇庙村新屋组至小村组人居环境整治工程</w:t>
            </w:r>
          </w:p>
        </w:tc>
        <w:tc>
          <w:tcPr>
            <w:tcW w:w="75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p>
        </w:tc>
        <w:tc>
          <w:tcPr>
            <w:tcW w:w="148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谢林港镇玉皇庙村</w:t>
            </w:r>
          </w:p>
        </w:tc>
        <w:tc>
          <w:tcPr>
            <w:tcW w:w="204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55（区级衔接资金）</w:t>
            </w:r>
          </w:p>
        </w:tc>
        <w:tc>
          <w:tcPr>
            <w:tcW w:w="2565"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改善人居环境，建设宜居美丽乡村</w:t>
            </w:r>
          </w:p>
        </w:tc>
        <w:tc>
          <w:tcPr>
            <w:tcW w:w="1335" w:type="dxa"/>
            <w:vAlign w:val="center"/>
          </w:tcPr>
          <w:p>
            <w:pPr>
              <w:numPr>
                <w:ilvl w:val="0"/>
                <w:numId w:val="0"/>
              </w:numPr>
              <w:ind w:left="0" w:leftChars="0" w:firstLine="0" w:firstLineChars="0"/>
              <w:jc w:val="center"/>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2022年8月</w:t>
            </w:r>
          </w:p>
        </w:tc>
        <w:tc>
          <w:tcPr>
            <w:tcW w:w="1350" w:type="dxa"/>
            <w:vAlign w:val="center"/>
          </w:tcPr>
          <w:p>
            <w:pPr>
              <w:numPr>
                <w:ilvl w:val="0"/>
                <w:numId w:val="0"/>
              </w:numPr>
              <w:ind w:left="0" w:leftChars="0" w:firstLine="0" w:firstLineChars="0"/>
              <w:jc w:val="center"/>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2022年10月</w:t>
            </w:r>
          </w:p>
        </w:tc>
        <w:tc>
          <w:tcPr>
            <w:tcW w:w="1470" w:type="dxa"/>
            <w:vAlign w:val="center"/>
          </w:tcPr>
          <w:p>
            <w:pPr>
              <w:numPr>
                <w:ilvl w:val="0"/>
                <w:numId w:val="0"/>
              </w:numPr>
              <w:jc w:val="center"/>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谢林港镇</w:t>
            </w:r>
          </w:p>
        </w:tc>
        <w:tc>
          <w:tcPr>
            <w:tcW w:w="2100" w:type="dxa"/>
            <w:vAlign w:val="center"/>
          </w:tcPr>
          <w:p>
            <w:pPr>
              <w:numPr>
                <w:ilvl w:val="0"/>
                <w:numId w:val="0"/>
              </w:numPr>
              <w:jc w:val="center"/>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玉皇庙村村民委员会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370" w:type="dxa"/>
            <w:gridSpan w:val="2"/>
            <w:vAlign w:val="center"/>
          </w:tcPr>
          <w:p>
            <w:pPr>
              <w:numPr>
                <w:ilvl w:val="0"/>
                <w:numId w:val="0"/>
              </w:numPr>
              <w:ind w:firstLine="402" w:firstLineChars="200"/>
              <w:jc w:val="both"/>
              <w:rPr>
                <w:rFonts w:hint="default"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合计</w:t>
            </w:r>
          </w:p>
        </w:tc>
        <w:tc>
          <w:tcPr>
            <w:tcW w:w="750" w:type="dxa"/>
            <w:vAlign w:val="center"/>
          </w:tcPr>
          <w:p>
            <w:pPr>
              <w:numPr>
                <w:ilvl w:val="0"/>
                <w:numId w:val="0"/>
              </w:numPr>
              <w:jc w:val="both"/>
              <w:rPr>
                <w:rFonts w:hint="default" w:ascii="仿宋_GB2312" w:hAnsi="仿宋_GB2312" w:eastAsia="仿宋_GB2312" w:cs="仿宋_GB2312"/>
                <w:b/>
                <w:bCs/>
                <w:sz w:val="20"/>
                <w:szCs w:val="20"/>
                <w:vertAlign w:val="baseline"/>
                <w:lang w:val="en-US" w:eastAsia="zh-CN"/>
              </w:rPr>
            </w:pPr>
          </w:p>
        </w:tc>
        <w:tc>
          <w:tcPr>
            <w:tcW w:w="1485" w:type="dxa"/>
            <w:vAlign w:val="center"/>
          </w:tcPr>
          <w:p>
            <w:pPr>
              <w:numPr>
                <w:ilvl w:val="0"/>
                <w:numId w:val="0"/>
              </w:numPr>
              <w:jc w:val="both"/>
              <w:rPr>
                <w:rFonts w:hint="default" w:ascii="仿宋_GB2312" w:hAnsi="仿宋_GB2312" w:eastAsia="仿宋_GB2312" w:cs="仿宋_GB2312"/>
                <w:b/>
                <w:bCs/>
                <w:sz w:val="20"/>
                <w:szCs w:val="20"/>
                <w:vertAlign w:val="baseline"/>
                <w:lang w:val="en-US" w:eastAsia="zh-CN"/>
              </w:rPr>
            </w:pPr>
          </w:p>
        </w:tc>
        <w:tc>
          <w:tcPr>
            <w:tcW w:w="2040" w:type="dxa"/>
            <w:vAlign w:val="center"/>
          </w:tcPr>
          <w:p>
            <w:pPr>
              <w:numPr>
                <w:ilvl w:val="0"/>
                <w:numId w:val="0"/>
              </w:numPr>
              <w:ind w:firstLine="803" w:firstLineChars="400"/>
              <w:jc w:val="both"/>
              <w:rPr>
                <w:rFonts w:hint="default" w:ascii="仿宋_GB2312" w:hAnsi="仿宋_GB2312" w:eastAsia="仿宋_GB2312" w:cs="仿宋_GB2312"/>
                <w:b/>
                <w:bCs/>
                <w:sz w:val="20"/>
                <w:szCs w:val="20"/>
                <w:vertAlign w:val="baseline"/>
                <w:lang w:val="en-US" w:eastAsia="zh-CN"/>
              </w:rPr>
            </w:pPr>
            <w:r>
              <w:rPr>
                <w:rFonts w:hint="eastAsia" w:ascii="仿宋_GB2312" w:hAnsi="仿宋_GB2312" w:eastAsia="仿宋_GB2312" w:cs="仿宋_GB2312"/>
                <w:b/>
                <w:bCs/>
                <w:sz w:val="20"/>
                <w:szCs w:val="20"/>
                <w:vertAlign w:val="baseline"/>
                <w:lang w:val="en-US" w:eastAsia="zh-CN"/>
              </w:rPr>
              <w:t>161</w:t>
            </w:r>
          </w:p>
        </w:tc>
        <w:tc>
          <w:tcPr>
            <w:tcW w:w="2565" w:type="dxa"/>
            <w:vAlign w:val="center"/>
          </w:tcPr>
          <w:p>
            <w:pPr>
              <w:numPr>
                <w:ilvl w:val="0"/>
                <w:numId w:val="0"/>
              </w:numPr>
              <w:jc w:val="both"/>
              <w:rPr>
                <w:rFonts w:hint="default" w:ascii="仿宋_GB2312" w:hAnsi="仿宋_GB2312" w:eastAsia="仿宋_GB2312" w:cs="仿宋_GB2312"/>
                <w:b/>
                <w:bCs/>
                <w:sz w:val="20"/>
                <w:szCs w:val="20"/>
                <w:vertAlign w:val="baseline"/>
                <w:lang w:val="en-US" w:eastAsia="zh-CN"/>
              </w:rPr>
            </w:pPr>
          </w:p>
        </w:tc>
        <w:tc>
          <w:tcPr>
            <w:tcW w:w="1335" w:type="dxa"/>
            <w:vAlign w:val="center"/>
          </w:tcPr>
          <w:p>
            <w:pPr>
              <w:numPr>
                <w:ilvl w:val="0"/>
                <w:numId w:val="0"/>
              </w:numPr>
              <w:jc w:val="both"/>
              <w:rPr>
                <w:rFonts w:hint="default" w:ascii="仿宋_GB2312" w:hAnsi="仿宋_GB2312" w:eastAsia="仿宋_GB2312" w:cs="仿宋_GB2312"/>
                <w:b/>
                <w:bCs/>
                <w:sz w:val="20"/>
                <w:szCs w:val="20"/>
                <w:vertAlign w:val="baseline"/>
                <w:lang w:val="en-US" w:eastAsia="zh-CN"/>
              </w:rPr>
            </w:pPr>
          </w:p>
        </w:tc>
        <w:tc>
          <w:tcPr>
            <w:tcW w:w="1350" w:type="dxa"/>
            <w:vAlign w:val="center"/>
          </w:tcPr>
          <w:p>
            <w:pPr>
              <w:numPr>
                <w:ilvl w:val="0"/>
                <w:numId w:val="0"/>
              </w:numPr>
              <w:jc w:val="both"/>
              <w:rPr>
                <w:rFonts w:hint="default" w:ascii="仿宋_GB2312" w:hAnsi="仿宋_GB2312" w:eastAsia="仿宋_GB2312" w:cs="仿宋_GB2312"/>
                <w:b/>
                <w:bCs/>
                <w:sz w:val="20"/>
                <w:szCs w:val="20"/>
                <w:vertAlign w:val="baseline"/>
                <w:lang w:val="en-US" w:eastAsia="zh-CN"/>
              </w:rPr>
            </w:pPr>
          </w:p>
        </w:tc>
        <w:tc>
          <w:tcPr>
            <w:tcW w:w="1470" w:type="dxa"/>
            <w:vAlign w:val="center"/>
          </w:tcPr>
          <w:p>
            <w:pPr>
              <w:numPr>
                <w:ilvl w:val="0"/>
                <w:numId w:val="0"/>
              </w:numPr>
              <w:jc w:val="both"/>
              <w:rPr>
                <w:rFonts w:hint="default" w:ascii="仿宋_GB2312" w:hAnsi="仿宋_GB2312" w:eastAsia="仿宋_GB2312" w:cs="仿宋_GB2312"/>
                <w:b/>
                <w:bCs/>
                <w:sz w:val="20"/>
                <w:szCs w:val="20"/>
                <w:vertAlign w:val="baseline"/>
                <w:lang w:val="en-US" w:eastAsia="zh-CN"/>
              </w:rPr>
            </w:pPr>
          </w:p>
        </w:tc>
        <w:tc>
          <w:tcPr>
            <w:tcW w:w="2100" w:type="dxa"/>
            <w:vAlign w:val="center"/>
          </w:tcPr>
          <w:p>
            <w:pPr>
              <w:numPr>
                <w:ilvl w:val="0"/>
                <w:numId w:val="0"/>
              </w:numPr>
              <w:jc w:val="both"/>
              <w:rPr>
                <w:rFonts w:hint="default" w:ascii="仿宋_GB2312" w:hAnsi="仿宋_GB2312" w:eastAsia="仿宋_GB2312" w:cs="仿宋_GB2312"/>
                <w:b/>
                <w:bCs/>
                <w:sz w:val="20"/>
                <w:szCs w:val="20"/>
                <w:vertAlign w:val="baseline"/>
                <w:lang w:val="en-US" w:eastAsia="zh-CN"/>
              </w:rPr>
            </w:pPr>
          </w:p>
        </w:tc>
      </w:tr>
    </w:tbl>
    <w:p>
      <w:pPr>
        <w:numPr>
          <w:ilvl w:val="0"/>
          <w:numId w:val="0"/>
        </w:numPr>
        <w:ind w:firstLine="883" w:firstLineChars="200"/>
        <w:jc w:val="both"/>
        <w:rPr>
          <w:rFonts w:hint="default" w:ascii="仿宋_GB2312" w:hAnsi="仿宋_GB2312" w:eastAsia="仿宋_GB2312" w:cs="仿宋_GB2312"/>
          <w:b/>
          <w:bCs/>
          <w:sz w:val="44"/>
          <w:szCs w:val="4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益阳高新区2022年财政衔接推进乡村振兴补助资金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项目计划实施申报表</w:t>
      </w:r>
    </w:p>
    <w:p>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单位：（盖章）                                                  时间：  年    月   日</w:t>
      </w:r>
    </w:p>
    <w:tbl>
      <w:tblPr>
        <w:tblStyle w:val="5"/>
        <w:tblW w:w="15567"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16"/>
        <w:gridCol w:w="867"/>
        <w:gridCol w:w="967"/>
        <w:gridCol w:w="516"/>
        <w:gridCol w:w="467"/>
        <w:gridCol w:w="717"/>
        <w:gridCol w:w="800"/>
        <w:gridCol w:w="766"/>
        <w:gridCol w:w="740"/>
        <w:gridCol w:w="760"/>
        <w:gridCol w:w="850"/>
        <w:gridCol w:w="704"/>
        <w:gridCol w:w="398"/>
        <w:gridCol w:w="937"/>
        <w:gridCol w:w="915"/>
        <w:gridCol w:w="960"/>
        <w:gridCol w:w="450"/>
        <w:gridCol w:w="705"/>
        <w:gridCol w:w="75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34"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2750" w:type="dxa"/>
            <w:gridSpan w:val="3"/>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项目类别</w:t>
            </w:r>
          </w:p>
        </w:tc>
        <w:tc>
          <w:tcPr>
            <w:tcW w:w="516"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w:t>
            </w:r>
          </w:p>
        </w:tc>
        <w:tc>
          <w:tcPr>
            <w:tcW w:w="467"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w:t>
            </w:r>
          </w:p>
        </w:tc>
        <w:tc>
          <w:tcPr>
            <w:tcW w:w="717"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w:t>
            </w:r>
          </w:p>
        </w:tc>
        <w:tc>
          <w:tcPr>
            <w:tcW w:w="800"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建设性质</w:t>
            </w:r>
          </w:p>
        </w:tc>
        <w:tc>
          <w:tcPr>
            <w:tcW w:w="766"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实施地点</w:t>
            </w:r>
          </w:p>
        </w:tc>
        <w:tc>
          <w:tcPr>
            <w:tcW w:w="1500" w:type="dxa"/>
            <w:gridSpan w:val="2"/>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时间进度</w:t>
            </w:r>
          </w:p>
        </w:tc>
        <w:tc>
          <w:tcPr>
            <w:tcW w:w="850"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建设内容及规模</w:t>
            </w:r>
          </w:p>
        </w:tc>
        <w:tc>
          <w:tcPr>
            <w:tcW w:w="704"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项目预算总投资（万元）</w:t>
            </w:r>
          </w:p>
        </w:tc>
        <w:tc>
          <w:tcPr>
            <w:tcW w:w="3210" w:type="dxa"/>
            <w:gridSpan w:val="4"/>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其中</w:t>
            </w:r>
          </w:p>
        </w:tc>
        <w:tc>
          <w:tcPr>
            <w:tcW w:w="450"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受益对象</w:t>
            </w:r>
          </w:p>
        </w:tc>
        <w:tc>
          <w:tcPr>
            <w:tcW w:w="705"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绩效目标</w:t>
            </w:r>
          </w:p>
        </w:tc>
        <w:tc>
          <w:tcPr>
            <w:tcW w:w="750"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联农带农机制</w:t>
            </w:r>
          </w:p>
        </w:tc>
        <w:tc>
          <w:tcPr>
            <w:tcW w:w="648" w:type="dxa"/>
            <w:vMerge w:val="restart"/>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项目类型</w:t>
            </w:r>
          </w:p>
        </w:tc>
        <w:tc>
          <w:tcPr>
            <w:tcW w:w="8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二级项目类型</w:t>
            </w:r>
          </w:p>
        </w:tc>
        <w:tc>
          <w:tcPr>
            <w:tcW w:w="9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项目子类型</w:t>
            </w:r>
          </w:p>
        </w:tc>
        <w:tc>
          <w:tcPr>
            <w:tcW w:w="516"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67"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17"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00"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6"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4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计划开工时间</w:t>
            </w:r>
          </w:p>
        </w:tc>
        <w:tc>
          <w:tcPr>
            <w:tcW w:w="7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计划完工时间</w:t>
            </w:r>
          </w:p>
        </w:tc>
        <w:tc>
          <w:tcPr>
            <w:tcW w:w="850"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4"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39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财政衔接资金</w:t>
            </w:r>
          </w:p>
        </w:tc>
        <w:tc>
          <w:tcPr>
            <w:tcW w:w="93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除财政衔接资金外的统筹整合资金（万元）</w:t>
            </w:r>
          </w:p>
        </w:tc>
        <w:tc>
          <w:tcPr>
            <w:tcW w:w="91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其他财政资金（万元）</w:t>
            </w:r>
          </w:p>
        </w:tc>
        <w:tc>
          <w:tcPr>
            <w:tcW w:w="9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其他筹措资金（万元）</w:t>
            </w:r>
          </w:p>
        </w:tc>
        <w:tc>
          <w:tcPr>
            <w:tcW w:w="450"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5"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50"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648" w:type="dxa"/>
            <w:vMerge w:val="continue"/>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3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产业发展</w:t>
            </w:r>
          </w:p>
        </w:tc>
        <w:tc>
          <w:tcPr>
            <w:tcW w:w="8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生产项目</w:t>
            </w:r>
          </w:p>
        </w:tc>
        <w:tc>
          <w:tcPr>
            <w:tcW w:w="9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种植业基地</w:t>
            </w:r>
          </w:p>
        </w:tc>
        <w:tc>
          <w:tcPr>
            <w:tcW w:w="5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1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0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4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39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3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64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3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5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1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0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4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39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3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64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3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51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6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1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0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6"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4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8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4"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39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37"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1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96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4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05"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750"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c>
          <w:tcPr>
            <w:tcW w:w="648" w:type="dxa"/>
            <w:vAlign w:val="center"/>
          </w:tcPr>
          <w:p>
            <w:pPr>
              <w:numPr>
                <w:ilvl w:val="0"/>
                <w:numId w:val="0"/>
              </w:numPr>
              <w:jc w:val="center"/>
              <w:rPr>
                <w:rFonts w:hint="default" w:ascii="仿宋_GB2312" w:hAnsi="仿宋_GB2312" w:eastAsia="仿宋_GB2312" w:cs="仿宋_GB2312"/>
                <w:b w:val="0"/>
                <w:bCs w:val="0"/>
                <w:sz w:val="24"/>
                <w:szCs w:val="24"/>
                <w:vertAlign w:val="baseline"/>
                <w:lang w:val="en-US" w:eastAsia="zh-CN"/>
              </w:rPr>
            </w:pPr>
          </w:p>
        </w:tc>
      </w:tr>
    </w:tbl>
    <w:p>
      <w:pPr>
        <w:numPr>
          <w:ilvl w:val="0"/>
          <w:numId w:val="0"/>
        </w:numPr>
        <w:ind w:firstLine="480" w:firstLineChars="200"/>
        <w:jc w:val="center"/>
        <w:rPr>
          <w:rFonts w:hint="default" w:ascii="仿宋_GB2312" w:hAnsi="仿宋_GB2312" w:eastAsia="仿宋_GB2312" w:cs="仿宋_GB2312"/>
          <w:b w:val="0"/>
          <w:bCs w:val="0"/>
          <w:sz w:val="24"/>
          <w:szCs w:val="24"/>
          <w:lang w:val="en-US" w:eastAsia="zh-CN"/>
        </w:rPr>
      </w:pPr>
    </w:p>
    <w:p>
      <w:pPr>
        <w:numPr>
          <w:ilvl w:val="0"/>
          <w:numId w:val="0"/>
        </w:numPr>
        <w:ind w:firstLine="480" w:firstLineChars="200"/>
        <w:jc w:val="center"/>
        <w:rPr>
          <w:rFonts w:hint="default" w:ascii="仿宋_GB2312" w:hAnsi="仿宋_GB2312" w:eastAsia="仿宋_GB2312" w:cs="仿宋_GB2312"/>
          <w:b w:val="0"/>
          <w:bCs w:val="0"/>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ind w:firstLine="640" w:firstLineChars="200"/>
        <w:jc w:val="left"/>
        <w:rPr>
          <w:rFonts w:hint="eastAsia" w:ascii="方正仿宋_GB2312" w:hAnsi="方正仿宋_GB2312" w:eastAsia="方正仿宋_GB2312" w:cs="方正仿宋_GB2312"/>
          <w:b w:val="0"/>
          <w:bCs w:val="0"/>
          <w:sz w:val="32"/>
          <w:szCs w:val="32"/>
          <w:lang w:val="en-US" w:eastAsia="zh-CN"/>
        </w:rPr>
      </w:pPr>
    </w:p>
    <w:p>
      <w:pPr>
        <w:numPr>
          <w:ilvl w:val="0"/>
          <w:numId w:val="0"/>
        </w:numPr>
        <w:jc w:val="left"/>
        <w:rPr>
          <w:rFonts w:hint="eastAsia" w:ascii="方正仿宋_GB2312" w:hAnsi="方正仿宋_GB2312" w:eastAsia="方正仿宋_GB2312" w:cs="方正仿宋_GB2312"/>
          <w:b w:val="0"/>
          <w:bCs w:val="0"/>
          <w:sz w:val="32"/>
          <w:szCs w:val="32"/>
          <w:lang w:val="en-US" w:eastAsia="zh-CN"/>
        </w:rPr>
      </w:pPr>
    </w:p>
    <w:tbl>
      <w:tblPr>
        <w:tblStyle w:val="5"/>
        <w:tblpPr w:leftFromText="180" w:rightFromText="180" w:vertAnchor="text" w:horzAnchor="page" w:tblpX="1675" w:tblpY="81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844" w:type="dxa"/>
            <w:tcBorders>
              <w:tl2br w:val="nil"/>
              <w:tr2bl w:val="nil"/>
            </w:tcBorders>
            <w:vAlign w:val="top"/>
          </w:tcPr>
          <w:p>
            <w:pPr>
              <w:numPr>
                <w:ilvl w:val="0"/>
                <w:numId w:val="0"/>
              </w:numPr>
              <w:ind w:firstLine="211" w:firstLineChars="100"/>
              <w:jc w:val="left"/>
              <w:rPr>
                <w:rFonts w:hint="default"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w w:val="66"/>
                <w:sz w:val="32"/>
                <w:szCs w:val="32"/>
                <w:vertAlign w:val="baseline"/>
                <w:lang w:val="en-US" w:eastAsia="zh-CN"/>
              </w:rPr>
              <w:t>中共益阳高新区工委实施乡村振兴领导小组办公室               2022年8月20日印发</w:t>
            </w:r>
          </w:p>
        </w:tc>
      </w:tr>
    </w:tbl>
    <w:p>
      <w:pPr>
        <w:numPr>
          <w:ilvl w:val="0"/>
          <w:numId w:val="0"/>
        </w:numPr>
        <w:jc w:val="left"/>
        <w:rPr>
          <w:rFonts w:hint="eastAsia" w:ascii="方正仿宋_GB2312" w:hAnsi="方正仿宋_GB2312" w:eastAsia="方正仿宋_GB2312" w:cs="方正仿宋_GB2312"/>
          <w:b w:val="0"/>
          <w:bCs w:val="0"/>
          <w:sz w:val="32"/>
          <w:szCs w:val="32"/>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96CB1140-2FD2-4940-BDA7-42C843A71CC5}"/>
  </w:font>
  <w:font w:name="方正小标宋简体">
    <w:panose1 w:val="03000509000000000000"/>
    <w:charset w:val="86"/>
    <w:family w:val="auto"/>
    <w:pitch w:val="default"/>
    <w:sig w:usb0="00000001" w:usb1="080E0000" w:usb2="00000000" w:usb3="00000000" w:csb0="00040000" w:csb1="00000000"/>
    <w:embedRegular r:id="rId2" w:fontKey="{234BAFFA-1166-443C-B1D5-057E4931EA9E}"/>
  </w:font>
  <w:font w:name="仿宋_GB2312">
    <w:panose1 w:val="02010609030101010101"/>
    <w:charset w:val="86"/>
    <w:family w:val="auto"/>
    <w:pitch w:val="default"/>
    <w:sig w:usb0="00000001" w:usb1="080E0000" w:usb2="00000000" w:usb3="00000000" w:csb0="00040000" w:csb1="00000000"/>
    <w:embedRegular r:id="rId3" w:fontKey="{0DEC52BE-7957-4694-ABF7-5AF4675166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N2EzMjljODA1N2EwZDJiZDk3OWVhNjYzMjc0ZTAifQ=="/>
  </w:docVars>
  <w:rsids>
    <w:rsidRoot w:val="2DC10DDC"/>
    <w:rsid w:val="024451E1"/>
    <w:rsid w:val="04702B00"/>
    <w:rsid w:val="0C495801"/>
    <w:rsid w:val="126E0789"/>
    <w:rsid w:val="1E711C14"/>
    <w:rsid w:val="220476C8"/>
    <w:rsid w:val="26356CDB"/>
    <w:rsid w:val="2A562461"/>
    <w:rsid w:val="2CDE6947"/>
    <w:rsid w:val="2DC10DDC"/>
    <w:rsid w:val="30D64FED"/>
    <w:rsid w:val="33F23C50"/>
    <w:rsid w:val="37624477"/>
    <w:rsid w:val="39B80539"/>
    <w:rsid w:val="3E9E221E"/>
    <w:rsid w:val="3FDC6250"/>
    <w:rsid w:val="416954B8"/>
    <w:rsid w:val="45836B79"/>
    <w:rsid w:val="505A0E19"/>
    <w:rsid w:val="50FC09D0"/>
    <w:rsid w:val="59AD74B0"/>
    <w:rsid w:val="5B956717"/>
    <w:rsid w:val="6447606E"/>
    <w:rsid w:val="65DB0DBA"/>
    <w:rsid w:val="6BBF672F"/>
    <w:rsid w:val="6DB47D5D"/>
    <w:rsid w:val="735F1040"/>
    <w:rsid w:val="771B144D"/>
    <w:rsid w:val="78F347BF"/>
    <w:rsid w:val="7DF8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1583</Words>
  <Characters>1670</Characters>
  <Lines>0</Lines>
  <Paragraphs>0</Paragraphs>
  <TotalTime>9</TotalTime>
  <ScaleCrop>false</ScaleCrop>
  <LinksUpToDate>false</LinksUpToDate>
  <CharactersWithSpaces>1768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2022-06-07T01:04:00Z</dcterms:created>
  <dc:creator>Administrator</dc:creator>
  <cp:lastModifiedBy>Administrator</cp:lastModifiedBy>
  <cp:lastPrinted>2022-09-08T10:12:14Z</cp:lastPrinted>
  <dcterms:modified xsi:type="dcterms:W3CDTF">2022-09-08T10:12:50Z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EE5D7F269B91436797D29C6DA302EFA8</vt:lpwstr>
  </property>
</Properties>
</file>