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2022年益阳高新区本级乡村振兴补助资金项目计划明细表</w:t>
      </w:r>
    </w:p>
    <w:bookmarkEnd w:id="0"/>
    <w:tbl>
      <w:tblPr>
        <w:tblStyle w:val="4"/>
        <w:tblpPr w:leftFromText="180" w:rightFromText="180" w:vertAnchor="text" w:tblpX="-569" w:tblpY="1"/>
        <w:tblOverlap w:val="never"/>
        <w:tblW w:w="15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75"/>
        <w:gridCol w:w="750"/>
        <w:gridCol w:w="1860"/>
        <w:gridCol w:w="1665"/>
        <w:gridCol w:w="2565"/>
        <w:gridCol w:w="1335"/>
        <w:gridCol w:w="1350"/>
        <w:gridCol w:w="14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建设任务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补助金额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firstLine="1200" w:firstLineChars="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绩效目标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（进度计划）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800" w:firstLineChars="4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时间进度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600" w:firstLineChars="3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计划开工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计划完工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项目主管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项目组织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“防贫综合保”保费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益阳高新区（鱼办、谢林港镇）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29.32万元（区级资金）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为谢林港镇、鱼办村民33430人购买防贫综合保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2022年12月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区社会事务局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“农村医保”保费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益阳高新区（鱼办、谢林港镇）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5.056万元（区级资金）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为高新区监测系统人口代缴农村医保保费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2022年3月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2022年4月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区社会事务局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“危房改造”补助资金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鱼形山街道办事处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25.4万元（区级资金）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为高新区10户农户改造修缮C/D级住房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2022年9月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2022年11月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区建设局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鱼形山村甲板坡组公路硬化工程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鱼形山街道办事处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鱼形山村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29.9万元（区级资金）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改善村、组公路连接，方便通行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谢林港村青山庙组渠沟修建工程（王家坡组渠沟修建工程）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谢林港村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19.574万元（区级资金）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改善本地农户耕作条件，有利提高粮食产量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2022年11月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谢林港村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02" w:firstLineChars="2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109.25万元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883" w:firstLineChars="200"/>
        <w:jc w:val="both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6D824A15"/>
    <w:rsid w:val="213470D6"/>
    <w:rsid w:val="6D8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1354</Words>
  <Characters>1457</Characters>
  <Lines>0</Lines>
  <Paragraphs>0</Paragraphs>
  <TotalTime>2</TotalTime>
  <ScaleCrop>false</ScaleCrop>
  <LinksUpToDate>false</LinksUpToDate>
  <CharactersWithSpaces>1505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2022-11-08T01:07:00Z</dcterms:created>
  <dc:creator>Administrator</dc:creator>
  <cp:lastModifiedBy>老萧 </cp:lastModifiedBy>
  <dcterms:modified xsi:type="dcterms:W3CDTF">2022-11-09T08:03:21Z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A79E4F0CA01043348505D3EAB8617DC7</vt:lpwstr>
  </property>
</Properties>
</file>