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sz w:val="56"/>
          <w:szCs w:val="56"/>
        </w:rPr>
      </w:pPr>
      <w:bookmarkStart w:id="2" w:name="_GoBack"/>
      <w:bookmarkEnd w:id="2"/>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sz w:val="84"/>
          <w:szCs w:val="84"/>
        </w:rPr>
      </w:pPr>
      <w:r>
        <w:rPr>
          <w:rFonts w:hint="eastAsia"/>
          <w:sz w:val="84"/>
          <w:szCs w:val="84"/>
        </w:rPr>
        <w:t>2021年度</w:t>
      </w:r>
    </w:p>
    <w:p>
      <w:pPr>
        <w:jc w:val="both"/>
        <w:rPr>
          <w:rFonts w:hint="eastAsia" w:ascii="黑体" w:hAnsi="Calibri" w:eastAsia="黑体" w:cs="黑体"/>
          <w:color w:val="auto"/>
          <w:kern w:val="0"/>
          <w:sz w:val="84"/>
          <w:szCs w:val="84"/>
          <w:lang w:val="en-US" w:eastAsia="zh-CN" w:bidi="ar-SA"/>
        </w:rPr>
      </w:pPr>
      <w:r>
        <w:rPr>
          <w:rFonts w:hint="eastAsia" w:ascii="黑体" w:eastAsia="黑体" w:cs="黑体"/>
          <w:color w:val="auto"/>
          <w:kern w:val="0"/>
          <w:sz w:val="84"/>
          <w:szCs w:val="84"/>
          <w:lang w:val="en-US" w:eastAsia="zh-CN" w:bidi="ar-SA"/>
        </w:rPr>
        <w:t>益阳奥</w:t>
      </w:r>
      <w:r>
        <w:rPr>
          <w:rFonts w:hint="eastAsia" w:ascii="黑体" w:hAnsi="Calibri" w:eastAsia="黑体" w:cs="黑体"/>
          <w:color w:val="auto"/>
          <w:kern w:val="0"/>
          <w:sz w:val="84"/>
          <w:szCs w:val="84"/>
          <w:lang w:val="en-US" w:eastAsia="zh-CN" w:bidi="ar-SA"/>
        </w:rPr>
        <w:t>林匹克公园管理中心</w:t>
      </w:r>
    </w:p>
    <w:p>
      <w:pPr>
        <w:pStyle w:val="13"/>
        <w:jc w:val="center"/>
        <w:rPr>
          <w:sz w:val="84"/>
          <w:szCs w:val="84"/>
        </w:rPr>
      </w:pPr>
      <w:r>
        <w:rPr>
          <w:rFonts w:hint="eastAsia"/>
          <w:sz w:val="84"/>
          <w:szCs w:val="84"/>
        </w:rPr>
        <w:t>部门决算</w:t>
      </w: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center"/>
        <w:rPr>
          <w:b/>
          <w:sz w:val="36"/>
          <w:szCs w:val="28"/>
        </w:rPr>
      </w:pPr>
    </w:p>
    <w:p>
      <w:pPr>
        <w:pStyle w:val="13"/>
        <w:spacing w:line="500" w:lineRule="exact"/>
        <w:jc w:val="center"/>
        <w:rPr>
          <w:b/>
          <w:sz w:val="36"/>
          <w:szCs w:val="28"/>
        </w:rPr>
      </w:pPr>
    </w:p>
    <w:p>
      <w:pPr>
        <w:pStyle w:val="13"/>
        <w:spacing w:line="500" w:lineRule="exact"/>
        <w:jc w:val="center"/>
        <w:rPr>
          <w:b/>
          <w:sz w:val="36"/>
          <w:szCs w:val="28"/>
        </w:rPr>
      </w:pPr>
      <w:r>
        <w:rPr>
          <w:rFonts w:hint="eastAsia"/>
          <w:b/>
          <w:sz w:val="36"/>
          <w:szCs w:val="28"/>
        </w:rPr>
        <w:t>目录</w:t>
      </w:r>
    </w:p>
    <w:p>
      <w:pPr>
        <w:jc w:val="both"/>
        <w:rPr>
          <w:rFonts w:hint="eastAsia"/>
          <w:b/>
          <w:sz w:val="28"/>
          <w:szCs w:val="28"/>
        </w:rPr>
      </w:pPr>
      <w:r>
        <w:rPr>
          <w:rFonts w:hint="eastAsia"/>
          <w:b/>
          <w:sz w:val="28"/>
          <w:szCs w:val="28"/>
        </w:rPr>
        <w:t>第一部分</w:t>
      </w:r>
      <w:r>
        <w:rPr>
          <w:rFonts w:hint="eastAsia"/>
          <w:b/>
          <w:sz w:val="28"/>
          <w:szCs w:val="28"/>
          <w:lang w:val="en-US" w:eastAsia="zh-CN"/>
        </w:rPr>
        <w:t>益阳奥林匹克公园管理中心</w:t>
      </w:r>
      <w:r>
        <w:rPr>
          <w:rFonts w:hint="eastAsia"/>
          <w:b/>
          <w:sz w:val="28"/>
          <w:szCs w:val="28"/>
        </w:rPr>
        <w:t>单位概况</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一、部门职责</w:t>
      </w:r>
    </w:p>
    <w:p>
      <w:pPr>
        <w:pStyle w:val="13"/>
        <w:spacing w:line="500" w:lineRule="exact"/>
        <w:ind w:firstLine="700" w:firstLineChars="250"/>
        <w:rPr>
          <w:rFonts w:hint="default" w:ascii="宋体" w:hAnsi="宋体" w:eastAsia="宋体" w:cs="仿宋_GB2312"/>
          <w:sz w:val="28"/>
          <w:szCs w:val="28"/>
          <w:lang w:val="en-US" w:eastAsia="zh-CN"/>
        </w:rPr>
      </w:pPr>
      <w:r>
        <w:rPr>
          <w:rFonts w:ascii="宋体" w:hAnsi="宋体" w:eastAsia="宋体" w:cs="仿宋_GB2312"/>
          <w:sz w:val="28"/>
          <w:szCs w:val="28"/>
        </w:rPr>
        <w:t>二、机构设置</w:t>
      </w:r>
      <w:r>
        <w:rPr>
          <w:rFonts w:hint="eastAsia" w:ascii="宋体" w:hAnsi="宋体" w:eastAsia="宋体" w:cs="仿宋_GB2312"/>
          <w:sz w:val="28"/>
          <w:szCs w:val="28"/>
          <w:lang w:val="en-US" w:eastAsia="zh-CN"/>
        </w:rPr>
        <w:t>及决算单位构成</w:t>
      </w:r>
    </w:p>
    <w:p>
      <w:pPr>
        <w:pStyle w:val="13"/>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一、收入支出决算总表</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二、收入决算表</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三、支出决算表</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四、财政拨款收入支出决算总表</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五、一般公共预算财政拨款支出决算表</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六、一般公共预算财政拨款基本支出决算</w:t>
      </w:r>
      <w:r>
        <w:rPr>
          <w:rFonts w:hint="eastAsia" w:ascii="宋体" w:hAnsi="宋体" w:eastAsia="宋体" w:cs="仿宋_GB2312"/>
          <w:sz w:val="28"/>
          <w:szCs w:val="28"/>
        </w:rPr>
        <w:t>明细</w:t>
      </w:r>
      <w:r>
        <w:rPr>
          <w:rFonts w:ascii="宋体" w:hAnsi="宋体" w:eastAsia="宋体" w:cs="仿宋_GB2312"/>
          <w:sz w:val="28"/>
          <w:szCs w:val="28"/>
        </w:rPr>
        <w:t>表</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七、一般公共预算财政拨款“三公”经费支出决算表</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八、政府性基金预算财政拨款收入支出决算表</w:t>
      </w:r>
    </w:p>
    <w:p>
      <w:pPr>
        <w:pStyle w:val="13"/>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3"/>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3"/>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十二、国有资产占用情况说明</w:t>
      </w:r>
    </w:p>
    <w:p>
      <w:pPr>
        <w:pStyle w:val="13"/>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w:t>
      </w:r>
      <w:r>
        <w:rPr>
          <w:rFonts w:hint="eastAsia" w:ascii="宋体" w:hAnsi="宋体" w:eastAsia="宋体" w:cs="仿宋_GB2312"/>
          <w:sz w:val="28"/>
          <w:szCs w:val="28"/>
        </w:rPr>
        <w:t>2021年</w:t>
      </w:r>
      <w:r>
        <w:rPr>
          <w:rFonts w:hint="eastAsia" w:ascii="仿宋_GB2312" w:hAnsi="仿宋_GB2312" w:eastAsia="宋体" w:cs="仿宋_GB2312"/>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3"/>
        <w:jc w:val="center"/>
        <w:rPr>
          <w:sz w:val="84"/>
          <w:szCs w:val="84"/>
        </w:rPr>
      </w:pPr>
      <w:r>
        <w:rPr>
          <w:rFonts w:hint="eastAsia"/>
          <w:sz w:val="84"/>
          <w:szCs w:val="84"/>
        </w:rPr>
        <w:t>第一部分</w:t>
      </w:r>
      <w:r>
        <w:rPr>
          <w:sz w:val="84"/>
          <w:szCs w:val="84"/>
        </w:rPr>
        <w:t xml:space="preserve"> </w:t>
      </w:r>
    </w:p>
    <w:p>
      <w:pPr>
        <w:pStyle w:val="13"/>
        <w:jc w:val="center"/>
        <w:rPr>
          <w:sz w:val="84"/>
          <w:szCs w:val="84"/>
        </w:rPr>
      </w:pPr>
    </w:p>
    <w:p>
      <w:pPr>
        <w:pStyle w:val="13"/>
        <w:jc w:val="center"/>
        <w:rPr>
          <w:sz w:val="84"/>
          <w:szCs w:val="84"/>
        </w:rPr>
      </w:pPr>
      <w:r>
        <w:rPr>
          <w:rFonts w:hint="eastAsia"/>
          <w:sz w:val="84"/>
          <w:szCs w:val="84"/>
          <w:lang w:val="en-US" w:eastAsia="zh-CN"/>
        </w:rPr>
        <w:t>益阳</w:t>
      </w:r>
      <w:r>
        <w:rPr>
          <w:rFonts w:hint="eastAsia"/>
          <w:sz w:val="84"/>
          <w:szCs w:val="84"/>
        </w:rPr>
        <w:t>奥林匹克公园</w:t>
      </w:r>
      <w:r>
        <w:rPr>
          <w:rFonts w:hint="eastAsia"/>
          <w:sz w:val="84"/>
          <w:szCs w:val="84"/>
          <w:lang w:val="en-US" w:eastAsia="zh-CN"/>
        </w:rPr>
        <w:t>管理中心</w:t>
      </w:r>
      <w:r>
        <w:rPr>
          <w:rFonts w:hint="eastAsia"/>
          <w:sz w:val="84"/>
          <w:szCs w:val="84"/>
        </w:rPr>
        <w:t>单位概况</w:t>
      </w:r>
    </w:p>
    <w:p>
      <w:pPr>
        <w:jc w:val="center"/>
        <w:rPr>
          <w:sz w:val="72"/>
          <w:szCs w:val="72"/>
        </w:rPr>
      </w:pPr>
    </w:p>
    <w:p>
      <w:pPr>
        <w:jc w:val="center"/>
        <w:rPr>
          <w:sz w:val="72"/>
          <w:szCs w:val="72"/>
        </w:rPr>
      </w:pPr>
    </w:p>
    <w:p>
      <w:pPr>
        <w:pStyle w:val="14"/>
        <w:ind w:left="0" w:leftChars="0" w:firstLine="0" w:firstLineChars="0"/>
        <w:jc w:val="left"/>
        <w:rPr>
          <w:rFonts w:ascii="黑体" w:hAnsi="黑体" w:eastAsia="黑体"/>
          <w:sz w:val="32"/>
          <w:szCs w:val="32"/>
        </w:rPr>
      </w:pPr>
    </w:p>
    <w:p>
      <w:pPr>
        <w:pStyle w:val="14"/>
        <w:ind w:left="0" w:leftChars="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宋体" w:hAnsi="宋体"/>
          <w:bCs/>
          <w:kern w:val="0"/>
          <w:sz w:val="32"/>
          <w:szCs w:val="32"/>
          <w:lang w:val="en-US" w:eastAsia="zh-CN"/>
        </w:rPr>
      </w:pPr>
      <w:r>
        <w:rPr>
          <w:rFonts w:hint="eastAsia" w:ascii="宋体" w:hAnsi="宋体"/>
          <w:bCs/>
          <w:kern w:val="0"/>
          <w:sz w:val="32"/>
          <w:szCs w:val="32"/>
          <w:lang w:eastAsia="zh-CN"/>
        </w:rPr>
        <w:t>益阳奥林匹克公园管理中心为</w:t>
      </w:r>
      <w:r>
        <w:rPr>
          <w:rFonts w:hint="eastAsia" w:ascii="宋体" w:hAnsi="宋体"/>
          <w:bCs/>
          <w:kern w:val="0"/>
          <w:sz w:val="32"/>
          <w:szCs w:val="32"/>
        </w:rPr>
        <w:t>国家AAAA级景区、公益性体育主题公园，为城区广大人民群众健身休闲、文化娱乐提供场地服务，承办各级、各类大型体育比赛和会展，承担体育后备人才培训的相关工作，负责公园</w:t>
      </w:r>
      <w:r>
        <w:rPr>
          <w:rFonts w:hint="eastAsia" w:ascii="宋体" w:hAnsi="宋体"/>
          <w:bCs/>
          <w:kern w:val="0"/>
          <w:sz w:val="32"/>
          <w:szCs w:val="32"/>
          <w:lang w:eastAsia="zh-CN"/>
        </w:rPr>
        <w:t>行政事务和挂靠人员的日常管理；负责公园在旅游和体育方面项目资金的申报与监督使用；负责公园国家</w:t>
      </w:r>
      <w:r>
        <w:rPr>
          <w:rFonts w:hint="eastAsia" w:ascii="宋体" w:hAnsi="宋体"/>
          <w:bCs/>
          <w:kern w:val="0"/>
          <w:sz w:val="32"/>
          <w:szCs w:val="32"/>
          <w:lang w:val="en-US" w:eastAsia="zh-CN"/>
        </w:rPr>
        <w:t>4A级旅游景区的复核迎检保牌工作。其承担的公园景区的经营管理、开发和公益设施维护、体育场馆的免费和低收费开放等职能委托益阳高新产业发展投资集团有限公司履行。</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宋体" w:hAnsi="宋体"/>
          <w:bCs/>
          <w:kern w:val="0"/>
          <w:sz w:val="32"/>
          <w:szCs w:val="32"/>
        </w:rPr>
      </w:pPr>
      <w:r>
        <w:rPr>
          <w:rFonts w:hint="eastAsia" w:ascii="宋体" w:hAnsi="宋体"/>
          <w:bCs/>
          <w:kern w:val="0"/>
          <w:sz w:val="32"/>
          <w:szCs w:val="32"/>
        </w:rPr>
        <w:t>（一）内设机构设置。</w:t>
      </w:r>
      <w:r>
        <w:rPr>
          <w:rFonts w:hint="eastAsia" w:ascii="宋体" w:hAnsi="宋体"/>
          <w:bCs/>
          <w:kern w:val="0"/>
          <w:sz w:val="32"/>
          <w:szCs w:val="32"/>
          <w:lang w:eastAsia="zh-CN"/>
        </w:rPr>
        <w:t>益阳奥林匹克公园管理中心</w:t>
      </w:r>
      <w:r>
        <w:rPr>
          <w:rFonts w:hint="eastAsia" w:ascii="宋体" w:hAnsi="宋体"/>
          <w:bCs/>
          <w:kern w:val="0"/>
          <w:sz w:val="32"/>
          <w:szCs w:val="32"/>
        </w:rPr>
        <w:t>内设机构包括：内设</w:t>
      </w:r>
      <w:r>
        <w:rPr>
          <w:rFonts w:hint="eastAsia" w:ascii="宋体" w:hAnsi="宋体"/>
          <w:bCs/>
          <w:kern w:val="0"/>
          <w:sz w:val="32"/>
          <w:szCs w:val="32"/>
          <w:lang w:eastAsia="zh-CN"/>
        </w:rPr>
        <w:t>综合</w:t>
      </w:r>
      <w:r>
        <w:rPr>
          <w:rFonts w:hint="eastAsia" w:ascii="宋体" w:hAnsi="宋体"/>
          <w:bCs/>
          <w:kern w:val="0"/>
          <w:sz w:val="32"/>
          <w:szCs w:val="32"/>
        </w:rPr>
        <w:t>办公室</w:t>
      </w:r>
      <w:r>
        <w:rPr>
          <w:rFonts w:hint="eastAsia" w:ascii="宋体" w:hAnsi="宋体"/>
          <w:bCs/>
          <w:kern w:val="0"/>
          <w:sz w:val="32"/>
          <w:szCs w:val="32"/>
          <w:lang w:eastAsia="zh-CN"/>
        </w:rPr>
        <w:t>、业务室、会计由机关财务室兼任。</w:t>
      </w:r>
    </w:p>
    <w:p>
      <w:pPr>
        <w:widowControl/>
        <w:spacing w:line="600" w:lineRule="exact"/>
        <w:ind w:firstLine="640" w:firstLineChars="200"/>
        <w:rPr>
          <w:rFonts w:hint="eastAsia" w:ascii="宋体" w:hAnsi="宋体" w:eastAsia="宋体"/>
          <w:bCs/>
          <w:kern w:val="0"/>
          <w:sz w:val="32"/>
          <w:szCs w:val="32"/>
          <w:lang w:eastAsia="zh-CN"/>
        </w:rPr>
      </w:pPr>
      <w:r>
        <w:rPr>
          <w:rFonts w:hint="eastAsia" w:ascii="宋体" w:hAnsi="宋体"/>
          <w:bCs/>
          <w:kern w:val="0"/>
          <w:sz w:val="32"/>
          <w:szCs w:val="32"/>
        </w:rPr>
        <w:t>（二）决算单位构成。</w:t>
      </w:r>
      <w:r>
        <w:rPr>
          <w:rFonts w:hint="eastAsia" w:ascii="宋体" w:hAnsi="宋体"/>
          <w:bCs/>
          <w:kern w:val="0"/>
          <w:sz w:val="32"/>
          <w:szCs w:val="32"/>
          <w:lang w:eastAsia="zh-CN"/>
        </w:rPr>
        <w:t>益阳奥林匹克公园管理中心</w:t>
      </w:r>
      <w:r>
        <w:rPr>
          <w:rFonts w:ascii="宋体" w:hAnsi="宋体"/>
          <w:bCs/>
          <w:kern w:val="0"/>
          <w:sz w:val="32"/>
          <w:szCs w:val="32"/>
        </w:rPr>
        <w:t>20</w:t>
      </w:r>
      <w:r>
        <w:rPr>
          <w:rFonts w:hint="eastAsia" w:ascii="宋体" w:hAnsi="宋体"/>
          <w:bCs/>
          <w:kern w:val="0"/>
          <w:sz w:val="32"/>
          <w:szCs w:val="32"/>
        </w:rPr>
        <w:t>21年部门决算汇总公开单位构成包括：</w:t>
      </w:r>
      <w:r>
        <w:rPr>
          <w:rFonts w:hint="eastAsia" w:ascii="宋体" w:hAnsi="宋体"/>
          <w:bCs/>
          <w:kern w:val="0"/>
          <w:sz w:val="32"/>
          <w:szCs w:val="32"/>
          <w:lang w:eastAsia="zh-CN"/>
        </w:rPr>
        <w:t>益阳奥林匹克公园管理中心</w:t>
      </w:r>
      <w:r>
        <w:rPr>
          <w:rFonts w:hint="eastAsia" w:ascii="宋体" w:hAnsi="宋体"/>
          <w:bCs/>
          <w:kern w:val="0"/>
          <w:sz w:val="32"/>
          <w:szCs w:val="32"/>
        </w:rPr>
        <w:t>单位本级</w:t>
      </w:r>
      <w:r>
        <w:rPr>
          <w:rFonts w:hint="eastAsia" w:ascii="宋体" w:hAnsi="宋体"/>
          <w:bCs/>
          <w:kern w:val="0"/>
          <w:sz w:val="32"/>
          <w:szCs w:val="32"/>
          <w:lang w:eastAsia="zh-CN"/>
        </w:rPr>
        <w:t>。</w:t>
      </w: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hAnsi="宋体"/>
          <w:sz w:val="32"/>
          <w:szCs w:val="32"/>
        </w:rPr>
        <w:sectPr>
          <w:pgSz w:w="11906" w:h="16838"/>
          <w:pgMar w:top="720" w:right="720" w:bottom="720" w:left="720" w:header="851" w:footer="992" w:gutter="0"/>
          <w:cols w:space="720" w:num="1"/>
          <w:docGrid w:type="lines" w:linePitch="312" w:charSpace="0"/>
        </w:sectPr>
      </w:pPr>
    </w:p>
    <w:p>
      <w:pPr>
        <w:jc w:val="center"/>
        <w:rPr>
          <w:rFonts w:hint="eastAsia" w:ascii="黑体" w:hAnsi="黑体" w:eastAsia="黑体"/>
          <w:sz w:val="28"/>
          <w:szCs w:val="28"/>
          <w:lang w:eastAsia="zh-CN"/>
        </w:rPr>
        <w:sectPr>
          <w:pgSz w:w="16838" w:h="11906" w:orient="landscape"/>
          <w:pgMar w:top="1797" w:right="1440" w:bottom="1797" w:left="1440" w:header="851" w:footer="992" w:gutter="0"/>
          <w:cols w:space="720" w:num="1"/>
          <w:docGrid w:type="linesAndChars" w:linePitch="312" w:charSpace="0"/>
        </w:sectPr>
      </w:pPr>
      <w:r>
        <w:rPr>
          <w:rFonts w:hint="eastAsia" w:ascii="黑体" w:hAnsi="黑体" w:eastAsia="黑体"/>
          <w:sz w:val="28"/>
          <w:szCs w:val="28"/>
          <w:lang w:eastAsia="zh-CN"/>
        </w:rPr>
        <w:drawing>
          <wp:inline distT="0" distB="0" distL="114300" distR="114300">
            <wp:extent cx="7138035" cy="5937250"/>
            <wp:effectExtent l="0" t="0" r="5715" b="6350"/>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4"/>
                    <a:stretch>
                      <a:fillRect/>
                    </a:stretch>
                  </pic:blipFill>
                  <pic:spPr>
                    <a:xfrm>
                      <a:off x="0" y="0"/>
                      <a:ext cx="7138035" cy="5937250"/>
                    </a:xfrm>
                    <a:prstGeom prst="rect">
                      <a:avLst/>
                    </a:prstGeom>
                    <a:noFill/>
                    <a:ln>
                      <a:noFill/>
                    </a:ln>
                  </pic:spPr>
                </pic:pic>
              </a:graphicData>
            </a:graphic>
          </wp:inline>
        </w:drawing>
      </w:r>
    </w:p>
    <w:p>
      <w:pPr>
        <w:widowControl/>
        <w:jc w:val="left"/>
        <w:rPr>
          <w:rFonts w:hint="eastAsia" w:ascii="Times New Roman" w:hAnsi="Times New Roman" w:eastAsia="黑体" w:cs="Times New Roman"/>
          <w:bCs/>
          <w:kern w:val="0"/>
          <w:sz w:val="32"/>
          <w:szCs w:val="32"/>
          <w:lang w:eastAsia="zh-CN"/>
        </w:rPr>
      </w:pPr>
      <w:r>
        <w:rPr>
          <w:rFonts w:ascii="Times New Roman" w:hAnsi="Times New Roman" w:eastAsia="黑体" w:cs="Times New Roman"/>
          <w:bCs/>
          <w:kern w:val="0"/>
          <w:sz w:val="32"/>
          <w:szCs w:val="32"/>
        </w:rPr>
        <w:t xml:space="preserve"> </w:t>
      </w:r>
      <w:r>
        <w:rPr>
          <w:rFonts w:hint="eastAsia" w:ascii="Times New Roman" w:hAnsi="Times New Roman" w:eastAsia="黑体" w:cs="Times New Roman"/>
          <w:bCs/>
          <w:kern w:val="0"/>
          <w:sz w:val="32"/>
          <w:szCs w:val="32"/>
          <w:lang w:eastAsia="zh-CN"/>
        </w:rPr>
        <w:drawing>
          <wp:inline distT="0" distB="0" distL="114300" distR="114300">
            <wp:extent cx="4206240" cy="6640830"/>
            <wp:effectExtent l="0" t="0" r="3810" b="7620"/>
            <wp:docPr id="2" name="图片 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标题"/>
                    <pic:cNvPicPr>
                      <a:picLocks noChangeAspect="1"/>
                    </pic:cNvPicPr>
                  </pic:nvPicPr>
                  <pic:blipFill>
                    <a:blip r:embed="rId5"/>
                    <a:srcRect r="37872"/>
                    <a:stretch>
                      <a:fillRect/>
                    </a:stretch>
                  </pic:blipFill>
                  <pic:spPr>
                    <a:xfrm>
                      <a:off x="0" y="0"/>
                      <a:ext cx="4206240" cy="6640830"/>
                    </a:xfrm>
                    <a:prstGeom prst="rect">
                      <a:avLst/>
                    </a:prstGeom>
                    <a:noFill/>
                    <a:ln>
                      <a:noFill/>
                    </a:ln>
                  </pic:spPr>
                </pic:pic>
              </a:graphicData>
            </a:graphic>
          </wp:inline>
        </w:drawing>
      </w:r>
    </w:p>
    <w:p>
      <w:pPr>
        <w:widowControl/>
        <w:rPr>
          <w:rFonts w:hint="eastAsia" w:ascii="Times New Roman" w:hAnsi="Times New Roman" w:eastAsia="方正小标宋_GBK" w:cs="Times New Roman"/>
          <w:color w:val="000000"/>
          <w:kern w:val="0"/>
          <w:sz w:val="36"/>
          <w:szCs w:val="36"/>
          <w:lang w:eastAsia="zh-CN"/>
        </w:rPr>
      </w:pPr>
      <w:r>
        <w:rPr>
          <w:rFonts w:hint="eastAsia" w:ascii="Times New Roman" w:hAnsi="Times New Roman" w:eastAsia="方正小标宋_GBK" w:cs="Times New Roman"/>
          <w:color w:val="000000"/>
          <w:kern w:val="0"/>
          <w:sz w:val="36"/>
          <w:szCs w:val="36"/>
          <w:lang w:eastAsia="zh-CN"/>
        </w:rPr>
        <w:drawing>
          <wp:inline distT="0" distB="0" distL="114300" distR="114300">
            <wp:extent cx="7563485" cy="6640830"/>
            <wp:effectExtent l="0" t="0" r="18415" b="7620"/>
            <wp:docPr id="3" name="图片 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无标题"/>
                    <pic:cNvPicPr>
                      <a:picLocks noChangeAspect="1"/>
                    </pic:cNvPicPr>
                  </pic:nvPicPr>
                  <pic:blipFill>
                    <a:blip r:embed="rId6"/>
                    <a:stretch>
                      <a:fillRect/>
                    </a:stretch>
                  </pic:blipFill>
                  <pic:spPr>
                    <a:xfrm>
                      <a:off x="0" y="0"/>
                      <a:ext cx="7563485" cy="6640830"/>
                    </a:xfrm>
                    <a:prstGeom prst="rect">
                      <a:avLst/>
                    </a:prstGeom>
                    <a:noFill/>
                    <a:ln>
                      <a:noFill/>
                    </a:ln>
                  </pic:spPr>
                </pic:pic>
              </a:graphicData>
            </a:graphic>
          </wp:inline>
        </w:drawing>
      </w:r>
    </w:p>
    <w:p>
      <w:pPr>
        <w:widowControl/>
        <w:jc w:val="both"/>
        <w:rPr>
          <w:rFonts w:hint="eastAsia" w:ascii="Times New Roman" w:hAnsi="Times New Roman" w:eastAsia="方正小标宋_GBK" w:cs="Times New Roman"/>
          <w:color w:val="000000"/>
          <w:kern w:val="0"/>
          <w:sz w:val="36"/>
          <w:szCs w:val="21"/>
          <w:lang w:eastAsia="zh-CN"/>
        </w:rPr>
      </w:pPr>
      <w:r>
        <w:rPr>
          <w:rFonts w:hint="eastAsia" w:ascii="Times New Roman" w:hAnsi="Times New Roman" w:eastAsia="方正小标宋_GBK" w:cs="Times New Roman"/>
          <w:color w:val="000000"/>
          <w:kern w:val="0"/>
          <w:sz w:val="36"/>
          <w:szCs w:val="21"/>
          <w:lang w:eastAsia="zh-CN"/>
        </w:rPr>
        <w:drawing>
          <wp:inline distT="0" distB="0" distL="114300" distR="114300">
            <wp:extent cx="7981950" cy="5981700"/>
            <wp:effectExtent l="0" t="0" r="0" b="0"/>
            <wp:docPr id="4" name="图片 4"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无标题"/>
                    <pic:cNvPicPr>
                      <a:picLocks noChangeAspect="1"/>
                    </pic:cNvPicPr>
                  </pic:nvPicPr>
                  <pic:blipFill>
                    <a:blip r:embed="rId7"/>
                    <a:srcRect b="9924"/>
                    <a:stretch>
                      <a:fillRect/>
                    </a:stretch>
                  </pic:blipFill>
                  <pic:spPr>
                    <a:xfrm>
                      <a:off x="0" y="0"/>
                      <a:ext cx="7981950" cy="5981700"/>
                    </a:xfrm>
                    <a:prstGeom prst="rect">
                      <a:avLst/>
                    </a:prstGeom>
                    <a:noFill/>
                    <a:ln>
                      <a:noFill/>
                    </a:ln>
                  </pic:spPr>
                </pic:pic>
              </a:graphicData>
            </a:graphic>
          </wp:inline>
        </w:drawing>
      </w:r>
    </w:p>
    <w:p>
      <w:pPr>
        <w:widowControl/>
        <w:ind w:left="93"/>
        <w:jc w:val="center"/>
        <w:rPr>
          <w:rFonts w:ascii="Times New Roman" w:hAnsi="Times New Roman" w:eastAsia="方正小标宋_GBK" w:cs="Times New Roman"/>
          <w:color w:val="000000"/>
          <w:kern w:val="0"/>
          <w:sz w:val="36"/>
          <w:szCs w:val="21"/>
        </w:rPr>
      </w:pPr>
    </w:p>
    <w:p>
      <w:pPr>
        <w:widowControl/>
        <w:jc w:val="both"/>
        <w:rPr>
          <w:rFonts w:hint="eastAsia" w:ascii="Times New Roman" w:hAnsi="Times New Roman" w:eastAsia="方正小标宋_GBK" w:cs="Times New Roman"/>
          <w:kern w:val="0"/>
          <w:sz w:val="36"/>
          <w:szCs w:val="36"/>
          <w:lang w:eastAsia="zh-CN"/>
        </w:rPr>
      </w:pPr>
      <w:bookmarkStart w:id="0" w:name="RANGE!A1:I22"/>
      <w:bookmarkEnd w:id="0"/>
      <w:bookmarkStart w:id="1" w:name="RANGE!A1:F16"/>
      <w:r>
        <w:rPr>
          <w:rFonts w:hint="eastAsia" w:ascii="Times New Roman" w:hAnsi="Times New Roman" w:eastAsia="方正小标宋_GBK" w:cs="Times New Roman"/>
          <w:kern w:val="0"/>
          <w:sz w:val="36"/>
          <w:szCs w:val="36"/>
          <w:lang w:eastAsia="zh-CN"/>
        </w:rPr>
        <w:drawing>
          <wp:inline distT="0" distB="0" distL="114300" distR="114300">
            <wp:extent cx="4469130" cy="6612890"/>
            <wp:effectExtent l="0" t="0" r="7620" b="16510"/>
            <wp:docPr id="5" name="图片 5"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无标题"/>
                    <pic:cNvPicPr>
                      <a:picLocks noChangeAspect="1"/>
                    </pic:cNvPicPr>
                  </pic:nvPicPr>
                  <pic:blipFill>
                    <a:blip r:embed="rId8"/>
                    <a:srcRect r="48425" b="8281"/>
                    <a:stretch>
                      <a:fillRect/>
                    </a:stretch>
                  </pic:blipFill>
                  <pic:spPr>
                    <a:xfrm>
                      <a:off x="0" y="0"/>
                      <a:ext cx="4469130" cy="6612890"/>
                    </a:xfrm>
                    <a:prstGeom prst="rect">
                      <a:avLst/>
                    </a:prstGeom>
                    <a:noFill/>
                    <a:ln>
                      <a:noFill/>
                    </a:ln>
                  </pic:spPr>
                </pic:pic>
              </a:graphicData>
            </a:graphic>
          </wp:inline>
        </w:drawing>
      </w:r>
    </w:p>
    <w:bookmarkEnd w:id="1"/>
    <w:p>
      <w:pPr>
        <w:widowControl/>
        <w:jc w:val="left"/>
        <w:rPr>
          <w:rFonts w:hint="eastAsia" w:ascii="Times New Roman" w:hAnsi="Times New Roman" w:eastAsia="仿宋_GB2312" w:cs="Times New Roman"/>
          <w:bCs/>
          <w:kern w:val="0"/>
          <w:szCs w:val="21"/>
          <w:lang w:eastAsia="zh-CN"/>
        </w:rPr>
      </w:pPr>
      <w:r>
        <w:rPr>
          <w:rFonts w:hint="eastAsia" w:ascii="Times New Roman" w:hAnsi="Times New Roman" w:eastAsia="仿宋_GB2312" w:cs="Times New Roman"/>
          <w:bCs/>
          <w:kern w:val="0"/>
          <w:szCs w:val="21"/>
          <w:lang w:eastAsia="zh-CN"/>
        </w:rPr>
        <w:drawing>
          <wp:inline distT="0" distB="0" distL="114300" distR="114300">
            <wp:extent cx="9692005" cy="5770880"/>
            <wp:effectExtent l="0" t="0" r="4445" b="1270"/>
            <wp:docPr id="6" name="图片 6"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无标题"/>
                    <pic:cNvPicPr>
                      <a:picLocks noChangeAspect="1"/>
                    </pic:cNvPicPr>
                  </pic:nvPicPr>
                  <pic:blipFill>
                    <a:blip r:embed="rId9"/>
                    <a:srcRect b="20549"/>
                    <a:stretch>
                      <a:fillRect/>
                    </a:stretch>
                  </pic:blipFill>
                  <pic:spPr>
                    <a:xfrm>
                      <a:off x="0" y="0"/>
                      <a:ext cx="9692005" cy="5770880"/>
                    </a:xfrm>
                    <a:prstGeom prst="rect">
                      <a:avLst/>
                    </a:prstGeom>
                    <a:noFill/>
                    <a:ln>
                      <a:noFill/>
                    </a:ln>
                  </pic:spPr>
                </pic:pic>
              </a:graphicData>
            </a:graphic>
          </wp:inline>
        </w:drawing>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left"/>
        <w:rPr>
          <w:rFonts w:hint="eastAsia" w:ascii="宋体" w:eastAsia="宋体" w:cs="宋体"/>
          <w:kern w:val="0"/>
          <w:sz w:val="24"/>
          <w:szCs w:val="24"/>
          <w:lang w:eastAsia="zh-CN"/>
        </w:rPr>
      </w:pPr>
      <w:r>
        <w:rPr>
          <w:rFonts w:hint="eastAsia" w:ascii="宋体" w:eastAsia="宋体" w:cs="宋体"/>
          <w:kern w:val="0"/>
          <w:sz w:val="24"/>
          <w:szCs w:val="24"/>
          <w:lang w:eastAsia="zh-CN"/>
        </w:rPr>
        <w:drawing>
          <wp:inline distT="0" distB="0" distL="114300" distR="114300">
            <wp:extent cx="9859010" cy="1957705"/>
            <wp:effectExtent l="0" t="0" r="8890" b="4445"/>
            <wp:docPr id="7" name="图片 9"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无标题"/>
                    <pic:cNvPicPr>
                      <a:picLocks noChangeAspect="1"/>
                    </pic:cNvPicPr>
                  </pic:nvPicPr>
                  <pic:blipFill>
                    <a:blip r:embed="rId10"/>
                    <a:srcRect r="7695" b="75034"/>
                    <a:stretch>
                      <a:fillRect/>
                    </a:stretch>
                  </pic:blipFill>
                  <pic:spPr>
                    <a:xfrm>
                      <a:off x="0" y="0"/>
                      <a:ext cx="9859010" cy="1957705"/>
                    </a:xfrm>
                    <a:prstGeom prst="rect">
                      <a:avLst/>
                    </a:prstGeom>
                    <a:noFill/>
                    <a:ln>
                      <a:noFill/>
                    </a:ln>
                  </pic:spPr>
                </pic:pic>
              </a:graphicData>
            </a:graphic>
          </wp:inline>
        </w:drawing>
      </w:r>
    </w:p>
    <w:p>
      <w:pPr>
        <w:autoSpaceDE w:val="0"/>
        <w:autoSpaceDN w:val="0"/>
        <w:adjustRightInd w:val="0"/>
        <w:ind w:left="315" w:leftChars="150"/>
        <w:jc w:val="left"/>
        <w:rPr>
          <w:rFonts w:ascii="宋体" w:eastAsia="宋体" w:cs="宋体"/>
          <w:kern w:val="0"/>
          <w:sz w:val="24"/>
          <w:szCs w:val="24"/>
        </w:rPr>
      </w:pPr>
    </w:p>
    <w:p>
      <w:pPr>
        <w:pStyle w:val="13"/>
        <w:rPr>
          <w:rFonts w:hint="eastAsia" w:eastAsia="黑体"/>
          <w:sz w:val="72"/>
          <w:szCs w:val="72"/>
          <w:lang w:eastAsia="zh-CN"/>
        </w:rPr>
      </w:pPr>
      <w:r>
        <w:rPr>
          <w:rFonts w:hint="eastAsia" w:eastAsia="黑体"/>
          <w:sz w:val="72"/>
          <w:szCs w:val="72"/>
          <w:lang w:eastAsia="zh-CN"/>
        </w:rPr>
        <w:drawing>
          <wp:inline distT="0" distB="0" distL="114300" distR="114300">
            <wp:extent cx="9989185" cy="3591560"/>
            <wp:effectExtent l="0" t="0" r="12065" b="8890"/>
            <wp:docPr id="8" name="图片 8"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无标题"/>
                    <pic:cNvPicPr>
                      <a:picLocks noChangeAspect="1"/>
                    </pic:cNvPicPr>
                  </pic:nvPicPr>
                  <pic:blipFill>
                    <a:blip r:embed="rId11"/>
                    <a:srcRect r="17464" b="60403"/>
                    <a:stretch>
                      <a:fillRect/>
                    </a:stretch>
                  </pic:blipFill>
                  <pic:spPr>
                    <a:xfrm>
                      <a:off x="0" y="0"/>
                      <a:ext cx="9989185" cy="3591560"/>
                    </a:xfrm>
                    <a:prstGeom prst="rect">
                      <a:avLst/>
                    </a:prstGeom>
                    <a:noFill/>
                    <a:ln>
                      <a:noFill/>
                    </a:ln>
                  </pic:spPr>
                </pic:pic>
              </a:graphicData>
            </a:graphic>
          </wp:inline>
        </w:drawing>
      </w:r>
    </w:p>
    <w:p>
      <w:pPr>
        <w:pStyle w:val="13"/>
        <w:rPr>
          <w:rFonts w:hint="eastAsia" w:eastAsia="黑体"/>
          <w:sz w:val="72"/>
          <w:szCs w:val="72"/>
          <w:lang w:eastAsia="zh-CN"/>
        </w:rPr>
        <w:sectPr>
          <w:pgSz w:w="16838" w:h="11906" w:orient="landscape"/>
          <w:pgMar w:top="720" w:right="720" w:bottom="720" w:left="720" w:header="851" w:footer="992" w:gutter="0"/>
          <w:cols w:space="720" w:num="1"/>
          <w:docGrid w:type="lines" w:linePitch="312" w:charSpace="0"/>
        </w:sectPr>
      </w:pPr>
    </w:p>
    <w:tbl>
      <w:tblPr>
        <w:tblStyle w:val="8"/>
        <w:tblW w:w="9960" w:type="dxa"/>
        <w:tblInd w:w="0" w:type="dxa"/>
        <w:tblLayout w:type="autofit"/>
        <w:tblCellMar>
          <w:top w:w="0" w:type="dxa"/>
          <w:left w:w="0" w:type="dxa"/>
          <w:bottom w:w="0" w:type="dxa"/>
          <w:right w:w="0" w:type="dxa"/>
        </w:tblCellMar>
      </w:tblPr>
      <w:tblGrid>
        <w:gridCol w:w="4025"/>
        <w:gridCol w:w="48"/>
        <w:gridCol w:w="48"/>
        <w:gridCol w:w="1209"/>
        <w:gridCol w:w="1282"/>
        <w:gridCol w:w="1282"/>
        <w:gridCol w:w="2066"/>
      </w:tblGrid>
      <w:tr>
        <w:tblPrEx>
          <w:tblCellMar>
            <w:top w:w="0" w:type="dxa"/>
            <w:left w:w="0" w:type="dxa"/>
            <w:bottom w:w="0" w:type="dxa"/>
            <w:right w:w="0" w:type="dxa"/>
          </w:tblCellMar>
        </w:tblPrEx>
        <w:trPr>
          <w:trHeight w:val="390" w:hRule="atLeast"/>
        </w:trPr>
        <w:tc>
          <w:tcPr>
            <w:tcW w:w="9960" w:type="dxa"/>
            <w:gridSpan w:val="7"/>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国有资本经营预算财政拨款支出决算表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部门：益阳奥林匹克公园管理中心</w:t>
            </w:r>
          </w:p>
        </w:tc>
        <w:tc>
          <w:tcPr>
            <w:tcW w:w="0" w:type="auto"/>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40" w:type="dxa"/>
            <w:gridSpan w:val="3"/>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7"/>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w:t>
            </w:r>
          </w:p>
          <w:p>
            <w:pPr>
              <w:pStyle w:val="2"/>
              <w:rPr>
                <w:rFonts w:hint="default"/>
                <w:lang w:val="en-US"/>
              </w:rPr>
            </w:pPr>
            <w:r>
              <w:rPr>
                <w:rFonts w:hint="eastAsia" w:hAnsi="宋体" w:eastAsia="宋体" w:cs="宋体"/>
                <w:i w:val="0"/>
                <w:color w:val="000000"/>
                <w:kern w:val="0"/>
                <w:sz w:val="22"/>
                <w:szCs w:val="22"/>
                <w:u w:val="none"/>
                <w:lang w:val="en-US" w:eastAsia="zh-CN" w:bidi="ar"/>
              </w:rPr>
              <w:t>说明：本</w:t>
            </w:r>
            <w:r>
              <w:rPr>
                <w:rFonts w:hint="eastAsia" w:ascii="宋体" w:hAnsi="宋体" w:eastAsia="宋体" w:cs="宋体"/>
                <w:i w:val="0"/>
                <w:color w:val="000000"/>
                <w:kern w:val="0"/>
                <w:sz w:val="22"/>
                <w:szCs w:val="22"/>
                <w:u w:val="none"/>
                <w:lang w:val="en-US" w:eastAsia="zh-CN" w:bidi="ar"/>
              </w:rPr>
              <w:t>部门本年度</w:t>
            </w:r>
            <w:r>
              <w:rPr>
                <w:rFonts w:hint="eastAsia" w:hAnsi="宋体" w:eastAsia="宋体" w:cs="宋体"/>
                <w:i w:val="0"/>
                <w:color w:val="000000"/>
                <w:kern w:val="0"/>
                <w:sz w:val="22"/>
                <w:szCs w:val="22"/>
                <w:u w:val="none"/>
                <w:lang w:val="en-US" w:eastAsia="zh-CN" w:bidi="ar"/>
              </w:rPr>
              <w:t>无</w:t>
            </w:r>
            <w:r>
              <w:rPr>
                <w:rFonts w:hint="eastAsia" w:ascii="宋体" w:hAnsi="宋体" w:eastAsia="宋体" w:cs="宋体"/>
                <w:i w:val="0"/>
                <w:color w:val="000000"/>
                <w:kern w:val="0"/>
                <w:sz w:val="22"/>
                <w:szCs w:val="22"/>
                <w:u w:val="none"/>
                <w:lang w:val="en-US" w:eastAsia="zh-CN" w:bidi="ar"/>
              </w:rPr>
              <w:t>国有资本经营预算财政拨款支出</w:t>
            </w:r>
            <w:r>
              <w:rPr>
                <w:rFonts w:hint="eastAsia" w:hAnsi="宋体" w:eastAsia="宋体" w:cs="宋体"/>
                <w:i w:val="0"/>
                <w:color w:val="000000"/>
                <w:kern w:val="0"/>
                <w:sz w:val="22"/>
                <w:szCs w:val="22"/>
                <w:u w:val="none"/>
                <w:lang w:val="en-US" w:eastAsia="zh-CN" w:bidi="ar"/>
              </w:rPr>
              <w:t>，故本表无数据。</w:t>
            </w:r>
          </w:p>
        </w:tc>
      </w:tr>
    </w:tbl>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第三部分</w:t>
      </w:r>
    </w:p>
    <w:p>
      <w:pPr>
        <w:pStyle w:val="13"/>
        <w:jc w:val="center"/>
        <w:rPr>
          <w:sz w:val="70"/>
          <w:szCs w:val="70"/>
        </w:rPr>
      </w:pPr>
    </w:p>
    <w:p>
      <w:pPr>
        <w:pStyle w:val="13"/>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3"/>
        <w:rPr>
          <w:rFonts w:ascii="宋体" w:hAnsi="宋体" w:eastAsia="宋体"/>
          <w:sz w:val="32"/>
          <w:szCs w:val="32"/>
        </w:rPr>
      </w:pPr>
    </w:p>
    <w:p>
      <w:pPr>
        <w:pStyle w:val="13"/>
        <w:rPr>
          <w:rFonts w:hAnsi="黑体"/>
          <w:b/>
          <w:sz w:val="32"/>
          <w:szCs w:val="32"/>
        </w:rPr>
      </w:pPr>
      <w:r>
        <w:rPr>
          <w:rFonts w:hint="eastAsia" w:hAnsi="黑体"/>
          <w:b/>
          <w:sz w:val="32"/>
          <w:szCs w:val="32"/>
        </w:rPr>
        <w:t>一、收入支出决算总体情况说明</w:t>
      </w:r>
    </w:p>
    <w:p>
      <w:pPr>
        <w:pStyle w:val="13"/>
        <w:ind w:firstLine="640" w:firstLineChars="200"/>
        <w:rPr>
          <w:rFonts w:hint="eastAsia" w:ascii="宋体" w:hAnsi="宋体" w:eastAsia="宋体"/>
          <w:color w:val="auto"/>
          <w:sz w:val="32"/>
          <w:szCs w:val="32"/>
          <w:lang w:eastAsia="zh-CN"/>
        </w:rPr>
      </w:pPr>
      <w:r>
        <w:rPr>
          <w:rFonts w:hint="eastAsia" w:ascii="宋体" w:hAnsi="宋体" w:eastAsia="宋体"/>
          <w:sz w:val="32"/>
          <w:szCs w:val="32"/>
        </w:rPr>
        <w:t>2021年度收</w:t>
      </w:r>
      <w:r>
        <w:rPr>
          <w:rFonts w:hint="eastAsia" w:ascii="宋体" w:hAnsi="宋体" w:eastAsia="宋体"/>
          <w:color w:val="auto"/>
          <w:sz w:val="32"/>
          <w:szCs w:val="32"/>
        </w:rPr>
        <w:t>、支总计</w:t>
      </w:r>
      <w:r>
        <w:rPr>
          <w:rFonts w:hint="eastAsia" w:ascii="宋体" w:hAnsi="宋体" w:eastAsia="宋体"/>
          <w:color w:val="auto"/>
          <w:sz w:val="32"/>
          <w:szCs w:val="32"/>
          <w:lang w:val="en-US" w:eastAsia="zh-CN"/>
        </w:rPr>
        <w:t>各</w:t>
      </w:r>
      <w:r>
        <w:rPr>
          <w:rFonts w:hint="eastAsia" w:ascii="宋体" w:hAnsi="宋体" w:eastAsia="宋体"/>
          <w:color w:val="auto"/>
          <w:sz w:val="32"/>
          <w:szCs w:val="32"/>
        </w:rPr>
        <w:t>926.85万元。与上年相比，</w:t>
      </w:r>
      <w:r>
        <w:rPr>
          <w:rFonts w:hint="eastAsia" w:ascii="宋体" w:hAnsi="宋体" w:eastAsia="宋体"/>
          <w:color w:val="auto"/>
          <w:sz w:val="32"/>
          <w:szCs w:val="32"/>
          <w:lang w:val="en-US" w:eastAsia="zh-CN"/>
        </w:rPr>
        <w:t>各</w:t>
      </w:r>
      <w:r>
        <w:rPr>
          <w:rFonts w:hint="eastAsia" w:ascii="宋体" w:hAnsi="宋体" w:eastAsia="宋体"/>
          <w:color w:val="auto"/>
          <w:sz w:val="32"/>
          <w:szCs w:val="32"/>
        </w:rPr>
        <w:t>增加</w:t>
      </w:r>
      <w:r>
        <w:rPr>
          <w:rFonts w:hint="eastAsia" w:ascii="宋体" w:hAnsi="宋体" w:eastAsia="宋体"/>
          <w:color w:val="auto"/>
          <w:sz w:val="32"/>
          <w:szCs w:val="32"/>
          <w:lang w:val="en-US" w:eastAsia="zh-CN"/>
        </w:rPr>
        <w:t>23.29</w:t>
      </w:r>
      <w:r>
        <w:rPr>
          <w:rFonts w:hint="eastAsia" w:ascii="宋体" w:hAnsi="宋体" w:eastAsia="宋体"/>
          <w:color w:val="auto"/>
          <w:sz w:val="32"/>
          <w:szCs w:val="32"/>
        </w:rPr>
        <w:t>万元，增长</w:t>
      </w:r>
      <w:r>
        <w:rPr>
          <w:rFonts w:hint="eastAsia" w:ascii="宋体" w:hAnsi="宋体" w:eastAsia="宋体"/>
          <w:color w:val="auto"/>
          <w:sz w:val="32"/>
          <w:szCs w:val="32"/>
          <w:lang w:val="en-US" w:eastAsia="zh-CN"/>
        </w:rPr>
        <w:t>2.58</w:t>
      </w:r>
      <w:r>
        <w:rPr>
          <w:rFonts w:hint="eastAsia" w:ascii="宋体" w:hAnsi="宋体" w:eastAsia="宋体"/>
          <w:color w:val="auto"/>
          <w:sz w:val="32"/>
          <w:szCs w:val="32"/>
        </w:rPr>
        <w:t>%，主要是因为</w:t>
      </w:r>
      <w:r>
        <w:rPr>
          <w:rFonts w:hint="eastAsia" w:ascii="宋体" w:hAnsi="宋体" w:eastAsia="宋体"/>
          <w:color w:val="auto"/>
          <w:sz w:val="32"/>
          <w:szCs w:val="32"/>
          <w:lang w:eastAsia="zh-CN"/>
        </w:rPr>
        <w:t>增加了对足球、网球等俱乐部的培训补助费用。</w:t>
      </w:r>
    </w:p>
    <w:p>
      <w:pPr>
        <w:pStyle w:val="13"/>
        <w:rPr>
          <w:rFonts w:hAnsi="黑体"/>
          <w:b/>
          <w:color w:val="auto"/>
          <w:sz w:val="32"/>
          <w:szCs w:val="32"/>
        </w:rPr>
      </w:pPr>
      <w:r>
        <w:rPr>
          <w:rFonts w:hint="eastAsia" w:hAnsi="黑体"/>
          <w:b/>
          <w:color w:val="auto"/>
          <w:sz w:val="32"/>
          <w:szCs w:val="32"/>
        </w:rPr>
        <w:t>二、收入决算情况说明</w:t>
      </w:r>
    </w:p>
    <w:p>
      <w:pPr>
        <w:pStyle w:val="13"/>
        <w:ind w:firstLine="640" w:firstLineChars="200"/>
        <w:rPr>
          <w:rFonts w:ascii="宋体" w:hAnsi="宋体" w:eastAsia="宋体"/>
          <w:color w:val="auto"/>
          <w:sz w:val="32"/>
          <w:szCs w:val="32"/>
        </w:rPr>
      </w:pPr>
      <w:r>
        <w:rPr>
          <w:rFonts w:hint="eastAsia" w:ascii="宋体" w:hAnsi="宋体" w:eastAsia="宋体"/>
          <w:color w:val="auto"/>
          <w:sz w:val="32"/>
          <w:szCs w:val="32"/>
        </w:rPr>
        <w:t>2021年度收入合计926.85万元，其中：财政拨款收入</w:t>
      </w:r>
      <w:r>
        <w:rPr>
          <w:rFonts w:hint="eastAsia" w:ascii="宋体" w:hAnsi="宋体" w:eastAsia="宋体"/>
          <w:color w:val="auto"/>
          <w:sz w:val="32"/>
          <w:szCs w:val="32"/>
          <w:lang w:val="en-US" w:eastAsia="zh-CN"/>
        </w:rPr>
        <w:t>866.22</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93.46</w:t>
      </w:r>
      <w:r>
        <w:rPr>
          <w:rFonts w:hint="eastAsia" w:ascii="宋体" w:hAnsi="宋体" w:eastAsia="宋体"/>
          <w:color w:val="auto"/>
          <w:sz w:val="32"/>
          <w:szCs w:val="32"/>
        </w:rPr>
        <w:t>%；上级补助收入</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%；事业收入</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%；经营收入</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%；附属单位上缴收入</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%；其他收入</w:t>
      </w:r>
      <w:r>
        <w:rPr>
          <w:rFonts w:hint="eastAsia" w:ascii="宋体" w:hAnsi="宋体" w:eastAsia="宋体"/>
          <w:color w:val="auto"/>
          <w:sz w:val="32"/>
          <w:szCs w:val="32"/>
          <w:lang w:val="en-US" w:eastAsia="zh-CN"/>
        </w:rPr>
        <w:t>60.62</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6.54</w:t>
      </w:r>
      <w:r>
        <w:rPr>
          <w:rFonts w:hint="eastAsia" w:ascii="宋体" w:hAnsi="宋体" w:eastAsia="宋体"/>
          <w:color w:val="auto"/>
          <w:sz w:val="32"/>
          <w:szCs w:val="32"/>
        </w:rPr>
        <w:t>%。</w:t>
      </w:r>
    </w:p>
    <w:p>
      <w:pPr>
        <w:pStyle w:val="13"/>
        <w:rPr>
          <w:rFonts w:hAnsi="黑体"/>
          <w:b/>
          <w:color w:val="auto"/>
          <w:sz w:val="32"/>
          <w:szCs w:val="32"/>
        </w:rPr>
      </w:pPr>
      <w:r>
        <w:rPr>
          <w:rFonts w:hint="eastAsia" w:hAnsi="黑体"/>
          <w:b/>
          <w:color w:val="auto"/>
          <w:sz w:val="32"/>
          <w:szCs w:val="32"/>
        </w:rPr>
        <w:t>三、支出决算情况说明</w:t>
      </w:r>
    </w:p>
    <w:p>
      <w:pPr>
        <w:pStyle w:val="13"/>
        <w:ind w:firstLine="640" w:firstLineChars="200"/>
        <w:rPr>
          <w:rFonts w:ascii="宋体" w:hAnsi="宋体" w:eastAsia="宋体"/>
          <w:color w:val="auto"/>
          <w:sz w:val="32"/>
          <w:szCs w:val="32"/>
        </w:rPr>
      </w:pPr>
      <w:r>
        <w:rPr>
          <w:rFonts w:hint="eastAsia" w:ascii="宋体" w:hAnsi="宋体" w:eastAsia="宋体"/>
          <w:color w:val="auto"/>
          <w:sz w:val="32"/>
          <w:szCs w:val="32"/>
        </w:rPr>
        <w:t>2021年度支出合计926.85万元，其中：基本支出347.85万元，占</w:t>
      </w:r>
      <w:r>
        <w:rPr>
          <w:rFonts w:hint="eastAsia" w:ascii="宋体" w:hAnsi="宋体" w:eastAsia="宋体"/>
          <w:color w:val="auto"/>
          <w:sz w:val="32"/>
          <w:szCs w:val="32"/>
          <w:lang w:val="en-US" w:eastAsia="zh-CN"/>
        </w:rPr>
        <w:t>37.53</w:t>
      </w:r>
      <w:r>
        <w:rPr>
          <w:rFonts w:hint="eastAsia" w:ascii="宋体" w:hAnsi="宋体" w:eastAsia="宋体"/>
          <w:color w:val="auto"/>
          <w:sz w:val="32"/>
          <w:szCs w:val="32"/>
        </w:rPr>
        <w:t>%；项目支出579万元，占</w:t>
      </w:r>
      <w:r>
        <w:rPr>
          <w:rFonts w:hint="eastAsia" w:ascii="宋体" w:hAnsi="宋体" w:eastAsia="宋体"/>
          <w:color w:val="auto"/>
          <w:sz w:val="32"/>
          <w:szCs w:val="32"/>
          <w:lang w:val="en-US" w:eastAsia="zh-CN"/>
        </w:rPr>
        <w:t>62.47</w:t>
      </w:r>
      <w:r>
        <w:rPr>
          <w:rFonts w:hint="eastAsia" w:ascii="宋体" w:hAnsi="宋体" w:eastAsia="宋体"/>
          <w:color w:val="auto"/>
          <w:sz w:val="32"/>
          <w:szCs w:val="32"/>
        </w:rPr>
        <w:t>%；上缴上级支出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%；经营支出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%；对附属单位补助支出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w:t>
      </w:r>
    </w:p>
    <w:p>
      <w:pPr>
        <w:pStyle w:val="13"/>
        <w:rPr>
          <w:rFonts w:hAnsi="黑体"/>
          <w:b/>
          <w:color w:val="auto"/>
          <w:sz w:val="32"/>
          <w:szCs w:val="32"/>
        </w:rPr>
      </w:pPr>
      <w:r>
        <w:rPr>
          <w:rFonts w:hint="eastAsia" w:hAnsi="黑体"/>
          <w:b/>
          <w:color w:val="auto"/>
          <w:sz w:val="32"/>
          <w:szCs w:val="32"/>
        </w:rPr>
        <w:t>四、财政拨款收入支出决算总体情况说明</w:t>
      </w:r>
    </w:p>
    <w:p>
      <w:pPr>
        <w:pStyle w:val="13"/>
        <w:rPr>
          <w:rFonts w:hAnsi="黑体"/>
          <w:b/>
          <w:color w:val="auto"/>
          <w:sz w:val="32"/>
          <w:szCs w:val="32"/>
        </w:rPr>
      </w:pPr>
      <w:r>
        <w:rPr>
          <w:rFonts w:hint="eastAsia" w:ascii="宋体" w:hAnsi="宋体" w:eastAsia="宋体"/>
          <w:color w:val="auto"/>
          <w:sz w:val="32"/>
          <w:szCs w:val="32"/>
        </w:rPr>
        <w:t xml:space="preserve">    2021年度财政拨款收、支总计</w:t>
      </w:r>
      <w:r>
        <w:rPr>
          <w:rFonts w:hint="eastAsia" w:ascii="宋体" w:hAnsi="宋体" w:eastAsia="宋体"/>
          <w:color w:val="auto"/>
          <w:sz w:val="32"/>
          <w:szCs w:val="32"/>
          <w:lang w:val="en-US" w:eastAsia="zh-CN"/>
        </w:rPr>
        <w:t>各</w:t>
      </w:r>
      <w:r>
        <w:rPr>
          <w:rFonts w:hint="eastAsia" w:ascii="宋体" w:hAnsi="宋体" w:eastAsia="宋体"/>
          <w:color w:val="auto"/>
          <w:sz w:val="32"/>
          <w:szCs w:val="32"/>
        </w:rPr>
        <w:t>866.22万元，与上年相比，</w:t>
      </w:r>
      <w:r>
        <w:rPr>
          <w:rFonts w:hint="eastAsia" w:ascii="宋体" w:hAnsi="宋体" w:eastAsia="宋体"/>
          <w:color w:val="auto"/>
          <w:sz w:val="32"/>
          <w:szCs w:val="32"/>
          <w:lang w:val="en-US" w:eastAsia="zh-CN"/>
        </w:rPr>
        <w:t>各</w:t>
      </w:r>
      <w:r>
        <w:rPr>
          <w:rFonts w:hint="eastAsia" w:ascii="宋体" w:hAnsi="宋体" w:eastAsia="宋体"/>
          <w:color w:val="auto"/>
          <w:sz w:val="32"/>
          <w:szCs w:val="32"/>
        </w:rPr>
        <w:t>增加</w:t>
      </w:r>
      <w:r>
        <w:rPr>
          <w:rFonts w:hint="eastAsia" w:ascii="宋体" w:hAnsi="宋体" w:eastAsia="宋体"/>
          <w:color w:val="auto"/>
          <w:sz w:val="32"/>
          <w:szCs w:val="32"/>
          <w:lang w:val="en-US" w:eastAsia="zh-CN"/>
        </w:rPr>
        <w:t>47.69</w:t>
      </w:r>
      <w:r>
        <w:rPr>
          <w:rFonts w:hint="eastAsia" w:ascii="宋体" w:hAnsi="宋体" w:eastAsia="宋体"/>
          <w:color w:val="auto"/>
          <w:sz w:val="32"/>
          <w:szCs w:val="32"/>
        </w:rPr>
        <w:t>万元,增长</w:t>
      </w:r>
      <w:r>
        <w:rPr>
          <w:rFonts w:hint="eastAsia" w:ascii="宋体" w:hAnsi="宋体" w:eastAsia="宋体"/>
          <w:color w:val="auto"/>
          <w:sz w:val="32"/>
          <w:szCs w:val="32"/>
          <w:lang w:val="en-US" w:eastAsia="zh-CN"/>
        </w:rPr>
        <w:t>5.83</w:t>
      </w:r>
      <w:r>
        <w:rPr>
          <w:rFonts w:hint="eastAsia" w:ascii="宋体" w:hAnsi="宋体" w:eastAsia="宋体"/>
          <w:color w:val="auto"/>
          <w:sz w:val="32"/>
          <w:szCs w:val="32"/>
        </w:rPr>
        <w:t>%，主要是因为</w:t>
      </w:r>
      <w:r>
        <w:rPr>
          <w:rFonts w:hint="eastAsia" w:ascii="宋体" w:hAnsi="宋体" w:eastAsia="宋体"/>
          <w:color w:val="auto"/>
          <w:sz w:val="32"/>
          <w:szCs w:val="32"/>
          <w:lang w:eastAsia="zh-CN"/>
        </w:rPr>
        <w:t>增加了对足球、网球等俱乐部的培训补助费用。</w:t>
      </w:r>
      <w:r>
        <w:rPr>
          <w:rFonts w:hint="eastAsia" w:hAnsi="黑体"/>
          <w:b/>
          <w:color w:val="auto"/>
          <w:sz w:val="32"/>
          <w:szCs w:val="32"/>
        </w:rPr>
        <w:t>五、一般公共预算财政拨款支出决算情况说明</w:t>
      </w:r>
    </w:p>
    <w:p>
      <w:pPr>
        <w:pStyle w:val="13"/>
        <w:ind w:firstLine="640" w:firstLineChars="200"/>
        <w:rPr>
          <w:rFonts w:ascii="宋体" w:hAnsi="宋体" w:eastAsia="宋体"/>
          <w:b/>
          <w:color w:val="auto"/>
          <w:sz w:val="32"/>
          <w:szCs w:val="32"/>
        </w:rPr>
      </w:pPr>
      <w:r>
        <w:rPr>
          <w:rFonts w:hint="eastAsia" w:ascii="宋体" w:hAnsi="宋体" w:eastAsia="宋体"/>
          <w:b/>
          <w:color w:val="auto"/>
          <w:sz w:val="32"/>
          <w:szCs w:val="32"/>
        </w:rPr>
        <w:t>（一）财政拨款支出决算总体情况</w:t>
      </w:r>
    </w:p>
    <w:p>
      <w:pPr>
        <w:pStyle w:val="13"/>
        <w:ind w:firstLine="800" w:firstLineChars="250"/>
        <w:rPr>
          <w:rFonts w:ascii="宋体" w:hAnsi="宋体" w:eastAsia="宋体"/>
          <w:color w:val="auto"/>
          <w:sz w:val="32"/>
          <w:szCs w:val="32"/>
        </w:rPr>
      </w:pPr>
      <w:r>
        <w:rPr>
          <w:rFonts w:hint="eastAsia" w:ascii="宋体" w:hAnsi="宋体" w:eastAsia="宋体"/>
          <w:color w:val="auto"/>
          <w:sz w:val="32"/>
          <w:szCs w:val="32"/>
        </w:rPr>
        <w:t>2021年度财政拨款支出861.22万元，占本年支出合计的</w:t>
      </w:r>
      <w:r>
        <w:rPr>
          <w:rFonts w:hint="eastAsia" w:ascii="宋体" w:hAnsi="宋体" w:eastAsia="宋体"/>
          <w:color w:val="auto"/>
          <w:sz w:val="32"/>
          <w:szCs w:val="32"/>
          <w:lang w:val="en-US" w:eastAsia="zh-CN"/>
        </w:rPr>
        <w:t>92.92</w:t>
      </w:r>
      <w:r>
        <w:rPr>
          <w:rFonts w:hint="eastAsia" w:ascii="宋体" w:hAnsi="宋体" w:eastAsia="宋体"/>
          <w:color w:val="auto"/>
          <w:sz w:val="32"/>
          <w:szCs w:val="32"/>
        </w:rPr>
        <w:t>%，与上年相比，财政拨款支出增加</w:t>
      </w:r>
      <w:r>
        <w:rPr>
          <w:rFonts w:hint="eastAsia" w:ascii="宋体" w:hAnsi="宋体" w:eastAsia="宋体"/>
          <w:color w:val="auto"/>
          <w:sz w:val="32"/>
          <w:szCs w:val="32"/>
          <w:lang w:val="en-US" w:eastAsia="zh-CN"/>
        </w:rPr>
        <w:t>57.69</w:t>
      </w:r>
      <w:r>
        <w:rPr>
          <w:rFonts w:hint="eastAsia" w:ascii="宋体" w:hAnsi="宋体" w:eastAsia="宋体"/>
          <w:color w:val="auto"/>
          <w:sz w:val="32"/>
          <w:szCs w:val="32"/>
        </w:rPr>
        <w:t>万元，增长</w:t>
      </w:r>
      <w:r>
        <w:rPr>
          <w:rFonts w:hint="eastAsia" w:ascii="宋体" w:hAnsi="宋体" w:eastAsia="宋体"/>
          <w:color w:val="auto"/>
          <w:sz w:val="32"/>
          <w:szCs w:val="32"/>
          <w:lang w:val="en-US" w:eastAsia="zh-CN"/>
        </w:rPr>
        <w:t>7.18</w:t>
      </w:r>
      <w:r>
        <w:rPr>
          <w:rFonts w:hint="eastAsia" w:ascii="宋体" w:hAnsi="宋体" w:eastAsia="宋体"/>
          <w:color w:val="auto"/>
          <w:sz w:val="32"/>
          <w:szCs w:val="32"/>
        </w:rPr>
        <w:t>%，主要是因为</w:t>
      </w:r>
      <w:r>
        <w:rPr>
          <w:rFonts w:hint="eastAsia" w:ascii="宋体" w:hAnsi="宋体" w:eastAsia="宋体"/>
          <w:color w:val="auto"/>
          <w:sz w:val="32"/>
          <w:szCs w:val="32"/>
          <w:lang w:eastAsia="zh-CN"/>
        </w:rPr>
        <w:t>增加了对足球、网球等俱乐部的培训补助费用。</w:t>
      </w:r>
    </w:p>
    <w:p>
      <w:pPr>
        <w:pStyle w:val="13"/>
        <w:ind w:firstLine="480" w:firstLineChars="150"/>
        <w:rPr>
          <w:rFonts w:ascii="宋体" w:hAnsi="宋体" w:eastAsia="宋体"/>
          <w:b/>
          <w:color w:val="auto"/>
          <w:sz w:val="32"/>
          <w:szCs w:val="32"/>
        </w:rPr>
      </w:pPr>
      <w:r>
        <w:rPr>
          <w:rFonts w:hint="eastAsia" w:ascii="宋体" w:hAnsi="宋体" w:eastAsia="宋体"/>
          <w:b/>
          <w:color w:val="auto"/>
          <w:sz w:val="32"/>
          <w:szCs w:val="32"/>
        </w:rPr>
        <w:t>（二）财政拨款支出决算结构情况</w:t>
      </w:r>
    </w:p>
    <w:p>
      <w:pPr>
        <w:pStyle w:val="13"/>
        <w:ind w:firstLine="640" w:firstLineChars="200"/>
        <w:rPr>
          <w:rFonts w:hint="eastAsia" w:ascii="宋体" w:hAnsi="宋体" w:eastAsia="宋体"/>
          <w:color w:val="auto"/>
          <w:sz w:val="32"/>
          <w:szCs w:val="32"/>
        </w:rPr>
      </w:pPr>
      <w:r>
        <w:rPr>
          <w:rFonts w:hint="eastAsia" w:ascii="宋体" w:hAnsi="宋体" w:eastAsia="宋体"/>
          <w:color w:val="auto"/>
          <w:sz w:val="32"/>
          <w:szCs w:val="32"/>
        </w:rPr>
        <w:t>2021年度财政拨款支出861.22万元，主要用于以下方面：</w:t>
      </w:r>
    </w:p>
    <w:p>
      <w:pPr>
        <w:pStyle w:val="13"/>
        <w:ind w:firstLine="640" w:firstLineChars="200"/>
        <w:rPr>
          <w:rFonts w:hint="eastAsia" w:ascii="宋体" w:hAnsi="宋体" w:eastAsia="宋体"/>
          <w:color w:val="auto"/>
          <w:sz w:val="32"/>
          <w:szCs w:val="32"/>
        </w:rPr>
      </w:pPr>
      <w:r>
        <w:rPr>
          <w:rFonts w:hint="eastAsia" w:ascii="宋体" w:hAnsi="宋体" w:eastAsia="宋体"/>
          <w:color w:val="auto"/>
          <w:sz w:val="32"/>
          <w:szCs w:val="32"/>
        </w:rPr>
        <w:t>一般公共服务支出48.2万元，占</w:t>
      </w:r>
      <w:r>
        <w:rPr>
          <w:rFonts w:hint="eastAsia" w:ascii="宋体" w:hAnsi="宋体" w:eastAsia="宋体"/>
          <w:color w:val="auto"/>
          <w:sz w:val="32"/>
          <w:szCs w:val="32"/>
          <w:lang w:val="en-US" w:eastAsia="zh-CN"/>
        </w:rPr>
        <w:t>5.6</w:t>
      </w:r>
      <w:r>
        <w:rPr>
          <w:rFonts w:hint="eastAsia" w:ascii="宋体" w:hAnsi="宋体" w:eastAsia="宋体"/>
          <w:color w:val="auto"/>
          <w:sz w:val="32"/>
          <w:szCs w:val="32"/>
        </w:rPr>
        <w:t>%；</w:t>
      </w:r>
    </w:p>
    <w:p>
      <w:pPr>
        <w:pStyle w:val="13"/>
        <w:ind w:firstLine="640" w:firstLineChars="200"/>
        <w:rPr>
          <w:rFonts w:hint="eastAsia" w:ascii="宋体" w:hAnsi="宋体" w:eastAsia="宋体"/>
          <w:color w:val="auto"/>
          <w:sz w:val="32"/>
          <w:szCs w:val="32"/>
          <w:lang w:eastAsia="zh-CN"/>
        </w:rPr>
      </w:pPr>
      <w:r>
        <w:rPr>
          <w:rFonts w:hint="eastAsia" w:ascii="宋体" w:hAnsi="宋体" w:eastAsia="宋体"/>
          <w:color w:val="auto"/>
          <w:sz w:val="32"/>
          <w:szCs w:val="32"/>
        </w:rPr>
        <w:t>文化旅游体育与传媒支出705.27万元，占</w:t>
      </w:r>
      <w:r>
        <w:rPr>
          <w:rFonts w:hint="eastAsia" w:ascii="宋体" w:hAnsi="宋体" w:eastAsia="宋体"/>
          <w:color w:val="auto"/>
          <w:sz w:val="32"/>
          <w:szCs w:val="32"/>
          <w:lang w:val="en-US" w:eastAsia="zh-CN"/>
        </w:rPr>
        <w:t>81.89</w:t>
      </w:r>
      <w:r>
        <w:rPr>
          <w:rFonts w:hint="eastAsia" w:ascii="宋体" w:hAnsi="宋体" w:eastAsia="宋体"/>
          <w:color w:val="auto"/>
          <w:sz w:val="32"/>
          <w:szCs w:val="32"/>
        </w:rPr>
        <w:t>%</w:t>
      </w:r>
      <w:r>
        <w:rPr>
          <w:rFonts w:hint="eastAsia" w:ascii="宋体" w:hAnsi="宋体" w:eastAsia="宋体"/>
          <w:color w:val="auto"/>
          <w:sz w:val="32"/>
          <w:szCs w:val="32"/>
          <w:lang w:eastAsia="zh-CN"/>
        </w:rPr>
        <w:t>；</w:t>
      </w:r>
    </w:p>
    <w:p>
      <w:pPr>
        <w:pStyle w:val="13"/>
        <w:ind w:firstLine="640" w:firstLineChars="200"/>
        <w:rPr>
          <w:rFonts w:hint="eastAsia" w:ascii="宋体" w:hAnsi="宋体" w:eastAsia="宋体"/>
          <w:color w:val="auto"/>
          <w:sz w:val="32"/>
          <w:szCs w:val="32"/>
          <w:lang w:eastAsia="zh-CN"/>
        </w:rPr>
      </w:pPr>
      <w:r>
        <w:rPr>
          <w:rFonts w:hint="eastAsia" w:ascii="宋体" w:hAnsi="宋体" w:eastAsia="宋体"/>
          <w:color w:val="auto"/>
          <w:sz w:val="32"/>
          <w:szCs w:val="32"/>
          <w:lang w:eastAsia="zh-CN"/>
        </w:rPr>
        <w:t>社会保障和就业支出55.78</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6.48</w:t>
      </w:r>
      <w:r>
        <w:rPr>
          <w:rFonts w:hint="eastAsia" w:ascii="宋体" w:hAnsi="宋体" w:eastAsia="宋体"/>
          <w:color w:val="auto"/>
          <w:sz w:val="32"/>
          <w:szCs w:val="32"/>
        </w:rPr>
        <w:t>%</w:t>
      </w:r>
      <w:r>
        <w:rPr>
          <w:rFonts w:hint="eastAsia" w:ascii="宋体" w:hAnsi="宋体" w:eastAsia="宋体"/>
          <w:color w:val="auto"/>
          <w:sz w:val="32"/>
          <w:szCs w:val="32"/>
          <w:lang w:eastAsia="zh-CN"/>
        </w:rPr>
        <w:t>；</w:t>
      </w:r>
    </w:p>
    <w:p>
      <w:pPr>
        <w:pStyle w:val="13"/>
        <w:ind w:firstLine="640" w:firstLineChars="200"/>
        <w:rPr>
          <w:rFonts w:hint="eastAsia" w:ascii="宋体" w:hAnsi="宋体" w:eastAsia="宋体"/>
          <w:color w:val="auto"/>
          <w:sz w:val="32"/>
          <w:szCs w:val="32"/>
          <w:lang w:eastAsia="zh-CN"/>
        </w:rPr>
      </w:pPr>
      <w:r>
        <w:rPr>
          <w:rFonts w:hint="eastAsia" w:ascii="宋体" w:hAnsi="宋体" w:eastAsia="宋体"/>
          <w:color w:val="auto"/>
          <w:sz w:val="32"/>
          <w:szCs w:val="32"/>
          <w:lang w:eastAsia="zh-CN"/>
        </w:rPr>
        <w:t>卫生健康支出28.31</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3.29</w:t>
      </w:r>
      <w:r>
        <w:rPr>
          <w:rFonts w:hint="eastAsia" w:ascii="宋体" w:hAnsi="宋体" w:eastAsia="宋体"/>
          <w:color w:val="auto"/>
          <w:sz w:val="32"/>
          <w:szCs w:val="32"/>
        </w:rPr>
        <w:t>%</w:t>
      </w:r>
      <w:r>
        <w:rPr>
          <w:rFonts w:hint="eastAsia" w:ascii="宋体" w:hAnsi="宋体" w:eastAsia="宋体"/>
          <w:color w:val="auto"/>
          <w:sz w:val="32"/>
          <w:szCs w:val="32"/>
          <w:lang w:eastAsia="zh-CN"/>
        </w:rPr>
        <w:t>；</w:t>
      </w:r>
    </w:p>
    <w:p>
      <w:pPr>
        <w:pStyle w:val="13"/>
        <w:ind w:firstLine="640" w:firstLineChars="200"/>
        <w:rPr>
          <w:rFonts w:hint="eastAsia" w:ascii="宋体" w:hAnsi="宋体" w:eastAsia="宋体"/>
          <w:color w:val="auto"/>
          <w:sz w:val="32"/>
          <w:szCs w:val="32"/>
          <w:lang w:eastAsia="zh-CN"/>
        </w:rPr>
      </w:pPr>
      <w:r>
        <w:rPr>
          <w:rFonts w:hint="eastAsia" w:ascii="宋体" w:hAnsi="宋体" w:eastAsia="宋体"/>
          <w:color w:val="auto"/>
          <w:sz w:val="32"/>
          <w:szCs w:val="32"/>
          <w:lang w:eastAsia="zh-CN"/>
        </w:rPr>
        <w:t>住房保障支出23.04</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2.68</w:t>
      </w:r>
      <w:r>
        <w:rPr>
          <w:rFonts w:hint="eastAsia" w:ascii="宋体" w:hAnsi="宋体" w:eastAsia="宋体"/>
          <w:color w:val="auto"/>
          <w:sz w:val="32"/>
          <w:szCs w:val="32"/>
        </w:rPr>
        <w:t>%</w:t>
      </w:r>
      <w:r>
        <w:rPr>
          <w:rFonts w:hint="eastAsia" w:ascii="宋体" w:hAnsi="宋体" w:eastAsia="宋体"/>
          <w:color w:val="auto"/>
          <w:sz w:val="32"/>
          <w:szCs w:val="32"/>
          <w:lang w:eastAsia="zh-CN"/>
        </w:rPr>
        <w:t>；</w:t>
      </w:r>
    </w:p>
    <w:p>
      <w:pPr>
        <w:pStyle w:val="13"/>
        <w:ind w:firstLine="640" w:firstLineChars="200"/>
        <w:rPr>
          <w:rFonts w:hint="eastAsia" w:ascii="宋体" w:hAnsi="宋体" w:eastAsia="宋体"/>
          <w:color w:val="auto"/>
          <w:sz w:val="32"/>
          <w:szCs w:val="32"/>
        </w:rPr>
      </w:pPr>
      <w:r>
        <w:rPr>
          <w:rFonts w:hint="eastAsia" w:ascii="宋体" w:hAnsi="宋体" w:eastAsia="宋体"/>
          <w:color w:val="auto"/>
          <w:sz w:val="32"/>
          <w:szCs w:val="32"/>
          <w:lang w:eastAsia="zh-CN"/>
        </w:rPr>
        <w:t>其他支出0.62</w:t>
      </w:r>
      <w:r>
        <w:rPr>
          <w:rFonts w:hint="eastAsia" w:ascii="宋体" w:hAnsi="宋体" w:eastAsia="宋体"/>
          <w:color w:val="auto"/>
          <w:sz w:val="32"/>
          <w:szCs w:val="32"/>
        </w:rPr>
        <w:t>万元，占</w:t>
      </w:r>
      <w:r>
        <w:rPr>
          <w:rFonts w:hint="eastAsia" w:ascii="宋体" w:hAnsi="宋体" w:eastAsia="宋体"/>
          <w:color w:val="auto"/>
          <w:sz w:val="32"/>
          <w:szCs w:val="32"/>
          <w:lang w:val="en-US" w:eastAsia="zh-CN"/>
        </w:rPr>
        <w:t>0.06</w:t>
      </w:r>
      <w:r>
        <w:rPr>
          <w:rFonts w:hint="eastAsia" w:ascii="宋体" w:hAnsi="宋体" w:eastAsia="宋体"/>
          <w:color w:val="auto"/>
          <w:sz w:val="32"/>
          <w:szCs w:val="32"/>
        </w:rPr>
        <w:t>%</w:t>
      </w:r>
      <w:r>
        <w:rPr>
          <w:rFonts w:hint="eastAsia" w:ascii="宋体" w:hAnsi="宋体" w:eastAsia="宋体"/>
          <w:color w:val="auto"/>
          <w:sz w:val="32"/>
          <w:szCs w:val="32"/>
          <w:lang w:eastAsia="zh-CN"/>
        </w:rPr>
        <w:t>；</w:t>
      </w:r>
    </w:p>
    <w:p>
      <w:pPr>
        <w:pStyle w:val="13"/>
        <w:ind w:firstLine="800" w:firstLineChars="250"/>
        <w:rPr>
          <w:rFonts w:ascii="宋体" w:hAnsi="宋体" w:eastAsia="宋体"/>
          <w:b/>
          <w:color w:val="auto"/>
          <w:sz w:val="32"/>
          <w:szCs w:val="32"/>
        </w:rPr>
      </w:pPr>
      <w:r>
        <w:rPr>
          <w:rFonts w:hint="eastAsia" w:ascii="宋体" w:hAnsi="宋体" w:eastAsia="宋体"/>
          <w:b/>
          <w:color w:val="auto"/>
          <w:sz w:val="32"/>
          <w:szCs w:val="32"/>
        </w:rPr>
        <w:t>（三）财政拨款支出决算具体情况</w:t>
      </w:r>
    </w:p>
    <w:p>
      <w:pPr>
        <w:pStyle w:val="13"/>
        <w:ind w:firstLine="800" w:firstLineChars="250"/>
        <w:rPr>
          <w:rFonts w:ascii="宋体" w:hAnsi="宋体" w:eastAsia="宋体"/>
          <w:color w:val="auto"/>
          <w:sz w:val="32"/>
          <w:szCs w:val="32"/>
        </w:rPr>
      </w:pPr>
      <w:r>
        <w:rPr>
          <w:rFonts w:hint="eastAsia" w:ascii="宋体" w:hAnsi="宋体" w:eastAsia="宋体"/>
          <w:color w:val="auto"/>
          <w:sz w:val="32"/>
          <w:szCs w:val="32"/>
        </w:rPr>
        <w:t>2021年度财政拨款支出年初预算数为</w:t>
      </w:r>
      <w:r>
        <w:rPr>
          <w:rFonts w:hint="eastAsia" w:ascii="宋体" w:hAnsi="宋体" w:eastAsia="宋体"/>
          <w:color w:val="auto"/>
          <w:sz w:val="32"/>
          <w:szCs w:val="32"/>
          <w:lang w:val="en-US" w:eastAsia="zh-CN"/>
        </w:rPr>
        <w:t>443.1</w:t>
      </w:r>
      <w:r>
        <w:rPr>
          <w:rFonts w:hint="eastAsia" w:ascii="宋体" w:hAnsi="宋体" w:eastAsia="宋体"/>
          <w:color w:val="auto"/>
          <w:sz w:val="32"/>
          <w:szCs w:val="32"/>
        </w:rPr>
        <w:t>万元，支出决算数为861.22万元，完成年初预算的</w:t>
      </w:r>
      <w:r>
        <w:rPr>
          <w:rFonts w:hint="eastAsia" w:ascii="宋体" w:hAnsi="宋体" w:eastAsia="宋体"/>
          <w:color w:val="auto"/>
          <w:sz w:val="32"/>
          <w:szCs w:val="32"/>
          <w:lang w:val="en-US" w:eastAsia="zh-CN"/>
        </w:rPr>
        <w:t>194.36</w:t>
      </w:r>
      <w:r>
        <w:rPr>
          <w:rFonts w:hint="eastAsia" w:ascii="宋体" w:hAnsi="宋体" w:eastAsia="宋体"/>
          <w:color w:val="auto"/>
          <w:sz w:val="32"/>
          <w:szCs w:val="32"/>
        </w:rPr>
        <w:t>%，其中：</w:t>
      </w:r>
    </w:p>
    <w:p>
      <w:pPr>
        <w:pStyle w:val="13"/>
        <w:ind w:firstLine="800" w:firstLineChars="250"/>
        <w:rPr>
          <w:rFonts w:hint="eastAsia" w:ascii="宋体" w:hAnsi="宋体" w:eastAsia="宋体"/>
          <w:color w:val="auto"/>
          <w:sz w:val="32"/>
          <w:szCs w:val="32"/>
          <w:lang w:eastAsia="zh-CN"/>
        </w:rPr>
      </w:pPr>
      <w:r>
        <w:rPr>
          <w:rFonts w:hint="eastAsia" w:ascii="宋体" w:hAnsi="宋体" w:eastAsia="宋体"/>
          <w:color w:val="auto"/>
          <w:sz w:val="32"/>
          <w:szCs w:val="32"/>
        </w:rPr>
        <w:t>1、一般公共服务支出（类）政府办公厅（室）及相关机构事务（款）行政运行（项）。年初预算为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万元，支出决算为43.36万元，由于预算数为0，无法计算百分比，</w:t>
      </w:r>
      <w:r>
        <w:rPr>
          <w:rFonts w:hint="eastAsia" w:ascii="宋体" w:hAnsi="宋体" w:eastAsia="宋体"/>
          <w:color w:val="auto"/>
          <w:sz w:val="32"/>
          <w:szCs w:val="32"/>
          <w:lang w:eastAsia="zh-CN"/>
        </w:rPr>
        <w:t>主要原因是支出职工社保、职业年金、公积金个人部分。</w:t>
      </w:r>
    </w:p>
    <w:p>
      <w:pPr>
        <w:pStyle w:val="13"/>
        <w:ind w:firstLine="800" w:firstLineChars="250"/>
        <w:rPr>
          <w:rFonts w:hint="eastAsia" w:ascii="宋体" w:hAnsi="宋体" w:eastAsia="宋体"/>
          <w:color w:val="auto"/>
          <w:sz w:val="32"/>
          <w:szCs w:val="32"/>
          <w:lang w:eastAsia="zh-CN"/>
        </w:rPr>
      </w:pPr>
      <w:r>
        <w:rPr>
          <w:rFonts w:hint="eastAsia" w:ascii="宋体" w:hAnsi="宋体" w:eastAsia="宋体"/>
          <w:color w:val="auto"/>
          <w:sz w:val="32"/>
          <w:szCs w:val="32"/>
        </w:rPr>
        <w:t>2、一般公共服务支出（类）其他共产党事务支出（款） 一般行政管理事务（项）。年初预算为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万元，支出决算为0.46万元，由于预算数为0，无法计算百分比，</w:t>
      </w:r>
      <w:r>
        <w:rPr>
          <w:rFonts w:hint="eastAsia" w:ascii="宋体" w:hAnsi="宋体" w:eastAsia="宋体"/>
          <w:color w:val="auto"/>
          <w:sz w:val="32"/>
          <w:szCs w:val="32"/>
          <w:lang w:eastAsia="zh-CN"/>
        </w:rPr>
        <w:t>主要原因是年中追加预算</w:t>
      </w:r>
      <w:r>
        <w:rPr>
          <w:rFonts w:hint="eastAsia" w:ascii="宋体" w:hAnsi="宋体" w:eastAsia="宋体"/>
          <w:color w:val="auto"/>
          <w:sz w:val="32"/>
          <w:szCs w:val="32"/>
          <w:lang w:val="en-US" w:eastAsia="zh-CN"/>
        </w:rPr>
        <w:t>0.46万元</w:t>
      </w:r>
      <w:r>
        <w:rPr>
          <w:rFonts w:hint="eastAsia" w:ascii="宋体" w:hAnsi="宋体" w:eastAsia="宋体"/>
          <w:color w:val="auto"/>
          <w:sz w:val="32"/>
          <w:szCs w:val="32"/>
          <w:lang w:eastAsia="zh-CN"/>
        </w:rPr>
        <w:t>。</w:t>
      </w:r>
    </w:p>
    <w:p>
      <w:pPr>
        <w:pStyle w:val="13"/>
        <w:ind w:firstLine="800" w:firstLineChars="250"/>
        <w:rPr>
          <w:rFonts w:hint="eastAsia" w:ascii="宋体" w:hAnsi="宋体" w:eastAsia="宋体"/>
          <w:color w:val="FF0000"/>
          <w:sz w:val="32"/>
          <w:szCs w:val="32"/>
          <w:lang w:val="en-US" w:eastAsia="zh-CN"/>
        </w:rPr>
      </w:pPr>
      <w:r>
        <w:rPr>
          <w:rFonts w:hint="eastAsia" w:ascii="宋体" w:hAnsi="宋体" w:eastAsia="宋体"/>
          <w:color w:val="auto"/>
          <w:sz w:val="32"/>
          <w:szCs w:val="32"/>
          <w:lang w:val="en-US" w:eastAsia="zh-CN"/>
        </w:rPr>
        <w:t>3</w:t>
      </w:r>
      <w:r>
        <w:rPr>
          <w:rFonts w:hint="eastAsia" w:ascii="宋体" w:hAnsi="宋体" w:eastAsia="宋体"/>
          <w:color w:val="auto"/>
          <w:sz w:val="32"/>
          <w:szCs w:val="32"/>
        </w:rPr>
        <w:t>、一般公共服务支出（类）其他共产党事务支出（款）其他共产党事务支出（项）。年初预算为</w:t>
      </w:r>
      <w:r>
        <w:rPr>
          <w:rFonts w:hint="eastAsia" w:ascii="宋体" w:hAnsi="宋体" w:eastAsia="宋体"/>
          <w:color w:val="auto"/>
          <w:sz w:val="32"/>
          <w:szCs w:val="32"/>
          <w:lang w:val="en-US" w:eastAsia="zh-CN"/>
        </w:rPr>
        <w:t>4.03</w:t>
      </w:r>
      <w:r>
        <w:rPr>
          <w:rFonts w:hint="eastAsia" w:ascii="宋体" w:hAnsi="宋体" w:eastAsia="宋体"/>
          <w:color w:val="auto"/>
          <w:sz w:val="32"/>
          <w:szCs w:val="32"/>
        </w:rPr>
        <w:t>万元，支出决算为1.37万元，完成年初预算的</w:t>
      </w:r>
      <w:r>
        <w:rPr>
          <w:rFonts w:hint="eastAsia" w:ascii="宋体" w:hAnsi="宋体" w:eastAsia="宋体"/>
          <w:color w:val="auto"/>
          <w:sz w:val="32"/>
          <w:szCs w:val="32"/>
          <w:lang w:val="en-US" w:eastAsia="zh-CN"/>
        </w:rPr>
        <w:t>34</w:t>
      </w:r>
      <w:r>
        <w:rPr>
          <w:rFonts w:hint="eastAsia" w:ascii="宋体" w:hAnsi="宋体" w:eastAsia="宋体"/>
          <w:color w:val="auto"/>
          <w:sz w:val="32"/>
          <w:szCs w:val="32"/>
        </w:rPr>
        <w:t>%，</w:t>
      </w:r>
      <w:r>
        <w:rPr>
          <w:rFonts w:hint="eastAsia" w:ascii="宋体" w:hAnsi="宋体" w:eastAsia="宋体"/>
          <w:color w:val="auto"/>
          <w:sz w:val="32"/>
          <w:szCs w:val="32"/>
          <w:lang w:eastAsia="zh-CN"/>
        </w:rPr>
        <w:t>主要原因是受疫情影响，缩减费用。</w:t>
      </w:r>
    </w:p>
    <w:p>
      <w:pPr>
        <w:pStyle w:val="13"/>
        <w:ind w:firstLine="800" w:firstLineChars="250"/>
        <w:rPr>
          <w:rFonts w:hint="default" w:ascii="宋体" w:hAnsi="宋体" w:eastAsia="宋体"/>
          <w:color w:val="auto"/>
          <w:sz w:val="32"/>
          <w:szCs w:val="32"/>
          <w:lang w:val="en-US" w:eastAsia="zh-CN"/>
        </w:rPr>
      </w:pPr>
      <w:r>
        <w:rPr>
          <w:rFonts w:hint="eastAsia" w:ascii="宋体" w:hAnsi="宋体" w:eastAsia="宋体"/>
          <w:sz w:val="32"/>
          <w:szCs w:val="32"/>
          <w:lang w:val="en-US" w:eastAsia="zh-CN"/>
        </w:rPr>
        <w:t>4</w:t>
      </w:r>
      <w:r>
        <w:rPr>
          <w:rFonts w:hint="eastAsia" w:ascii="宋体" w:hAnsi="宋体" w:eastAsia="宋体"/>
          <w:sz w:val="32"/>
          <w:szCs w:val="32"/>
        </w:rPr>
        <w:t>、一般公共服务支出（类）其他一般公共服务支出（款）其他一般公共服</w:t>
      </w:r>
      <w:r>
        <w:rPr>
          <w:rFonts w:hint="eastAsia" w:ascii="宋体" w:hAnsi="宋体" w:eastAsia="宋体"/>
          <w:color w:val="auto"/>
          <w:sz w:val="32"/>
          <w:szCs w:val="32"/>
        </w:rPr>
        <w:t>务支出（项）。年初预算为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万元，支出决算为3万元，由于预算数为0，无法计算百分比，</w:t>
      </w:r>
      <w:r>
        <w:rPr>
          <w:rFonts w:hint="eastAsia" w:ascii="宋体" w:hAnsi="宋体" w:eastAsia="宋体"/>
          <w:color w:val="auto"/>
          <w:sz w:val="32"/>
          <w:szCs w:val="32"/>
          <w:lang w:eastAsia="zh-CN"/>
        </w:rPr>
        <w:t>主要原因是使用</w:t>
      </w:r>
      <w:r>
        <w:rPr>
          <w:rFonts w:hint="eastAsia" w:ascii="宋体" w:hAnsi="宋体" w:eastAsia="宋体"/>
          <w:color w:val="auto"/>
          <w:sz w:val="32"/>
          <w:szCs w:val="32"/>
          <w:lang w:val="en-US" w:eastAsia="zh-CN"/>
        </w:rPr>
        <w:t>2020年预算中，结转结余的指标。</w:t>
      </w:r>
    </w:p>
    <w:p>
      <w:pPr>
        <w:pStyle w:val="13"/>
        <w:ind w:firstLine="800" w:firstLineChars="250"/>
        <w:rPr>
          <w:rFonts w:hint="eastAsia" w:ascii="宋体" w:hAnsi="宋体" w:eastAsia="宋体"/>
          <w:color w:val="auto"/>
          <w:sz w:val="32"/>
          <w:szCs w:val="32"/>
          <w:lang w:eastAsia="zh-CN"/>
        </w:rPr>
      </w:pPr>
      <w:r>
        <w:rPr>
          <w:rFonts w:hint="eastAsia" w:ascii="宋体" w:hAnsi="宋体" w:eastAsia="宋体"/>
          <w:color w:val="auto"/>
          <w:sz w:val="32"/>
          <w:szCs w:val="32"/>
          <w:lang w:val="en-US" w:eastAsia="zh-CN"/>
        </w:rPr>
        <w:t>5</w:t>
      </w:r>
      <w:r>
        <w:rPr>
          <w:rFonts w:hint="eastAsia" w:ascii="宋体" w:hAnsi="宋体" w:eastAsia="宋体"/>
          <w:color w:val="auto"/>
          <w:sz w:val="32"/>
          <w:szCs w:val="32"/>
        </w:rPr>
        <w:t>、文化旅游体育与传媒支出（类）体育（款）行政运行（项）。年初预算为</w:t>
      </w:r>
      <w:r>
        <w:rPr>
          <w:rFonts w:hint="eastAsia" w:ascii="宋体" w:hAnsi="宋体" w:eastAsia="宋体"/>
          <w:color w:val="auto"/>
          <w:sz w:val="32"/>
          <w:szCs w:val="32"/>
          <w:lang w:val="en-US" w:eastAsia="zh-CN"/>
        </w:rPr>
        <w:t>153.85</w:t>
      </w:r>
      <w:r>
        <w:rPr>
          <w:rFonts w:hint="eastAsia" w:ascii="宋体" w:hAnsi="宋体" w:eastAsia="宋体"/>
          <w:color w:val="auto"/>
          <w:sz w:val="32"/>
          <w:szCs w:val="32"/>
        </w:rPr>
        <w:t>万元，支出决算为114.54万元，完成年初预算的</w:t>
      </w:r>
      <w:r>
        <w:rPr>
          <w:rFonts w:hint="eastAsia" w:ascii="宋体" w:hAnsi="宋体" w:eastAsia="宋体"/>
          <w:color w:val="auto"/>
          <w:sz w:val="32"/>
          <w:szCs w:val="32"/>
          <w:lang w:val="en-US" w:eastAsia="zh-CN"/>
        </w:rPr>
        <w:t>74.45</w:t>
      </w:r>
      <w:r>
        <w:rPr>
          <w:rFonts w:hint="eastAsia" w:ascii="宋体" w:hAnsi="宋体" w:eastAsia="宋体"/>
          <w:color w:val="auto"/>
          <w:sz w:val="32"/>
          <w:szCs w:val="32"/>
        </w:rPr>
        <w:t>%，</w:t>
      </w:r>
      <w:r>
        <w:rPr>
          <w:rFonts w:hint="eastAsia" w:ascii="宋体" w:hAnsi="宋体" w:eastAsia="宋体"/>
          <w:color w:val="auto"/>
          <w:sz w:val="32"/>
          <w:szCs w:val="32"/>
          <w:lang w:eastAsia="zh-CN"/>
        </w:rPr>
        <w:t>主要原因是职工社保、职业年金、公积金个人部分由</w:t>
      </w:r>
      <w:r>
        <w:rPr>
          <w:rFonts w:hint="eastAsia" w:ascii="宋体" w:hAnsi="宋体" w:eastAsia="宋体"/>
          <w:color w:val="auto"/>
          <w:sz w:val="32"/>
          <w:szCs w:val="32"/>
        </w:rPr>
        <w:t>政府办公厅及相关机构事务行政运行</w:t>
      </w:r>
      <w:r>
        <w:rPr>
          <w:rFonts w:hint="eastAsia" w:ascii="宋体" w:hAnsi="宋体" w:eastAsia="宋体"/>
          <w:color w:val="auto"/>
          <w:sz w:val="32"/>
          <w:szCs w:val="32"/>
          <w:lang w:eastAsia="zh-CN"/>
        </w:rPr>
        <w:t>中支出。</w:t>
      </w:r>
    </w:p>
    <w:p>
      <w:pPr>
        <w:pStyle w:val="13"/>
        <w:ind w:firstLine="800" w:firstLineChars="250"/>
        <w:rPr>
          <w:rFonts w:hint="eastAsia" w:ascii="宋体" w:hAnsi="宋体" w:eastAsia="宋体"/>
          <w:sz w:val="32"/>
          <w:szCs w:val="32"/>
          <w:lang w:eastAsia="zh-CN"/>
        </w:rPr>
      </w:pPr>
      <w:r>
        <w:rPr>
          <w:rFonts w:hint="eastAsia" w:ascii="宋体" w:hAnsi="宋体" w:eastAsia="宋体"/>
          <w:color w:val="auto"/>
          <w:sz w:val="32"/>
          <w:szCs w:val="32"/>
          <w:lang w:val="en-US" w:eastAsia="zh-CN"/>
        </w:rPr>
        <w:t>6</w:t>
      </w:r>
      <w:r>
        <w:rPr>
          <w:rFonts w:hint="eastAsia" w:ascii="宋体" w:hAnsi="宋体" w:eastAsia="宋体"/>
          <w:color w:val="auto"/>
          <w:sz w:val="32"/>
          <w:szCs w:val="32"/>
        </w:rPr>
        <w:t>、文化旅游</w:t>
      </w:r>
      <w:r>
        <w:rPr>
          <w:rFonts w:hint="eastAsia" w:ascii="宋体" w:hAnsi="宋体" w:eastAsia="宋体"/>
          <w:sz w:val="32"/>
          <w:szCs w:val="32"/>
        </w:rPr>
        <w:t>体育与传媒支出（类）体育（款） 机关服务（项）。年初预算为</w:t>
      </w:r>
      <w:r>
        <w:rPr>
          <w:rFonts w:hint="eastAsia" w:ascii="宋体" w:hAnsi="宋体" w:eastAsia="宋体"/>
          <w:sz w:val="32"/>
          <w:szCs w:val="32"/>
          <w:lang w:val="en-US" w:eastAsia="zh-CN"/>
        </w:rPr>
        <w:t>3.2</w:t>
      </w:r>
      <w:r>
        <w:rPr>
          <w:rFonts w:hint="eastAsia" w:ascii="宋体" w:hAnsi="宋体" w:eastAsia="宋体"/>
          <w:sz w:val="32"/>
          <w:szCs w:val="32"/>
        </w:rPr>
        <w:t>万元，支出决算为</w:t>
      </w:r>
      <w:r>
        <w:rPr>
          <w:rFonts w:hint="eastAsia" w:ascii="宋体" w:hAnsi="宋体" w:eastAsia="宋体"/>
          <w:sz w:val="32"/>
          <w:szCs w:val="32"/>
          <w:lang w:val="en-US" w:eastAsia="zh-CN"/>
        </w:rPr>
        <w:t>3.2</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w:t>
      </w:r>
      <w:r>
        <w:rPr>
          <w:rFonts w:hint="eastAsia" w:ascii="宋体" w:hAnsi="宋体" w:eastAsia="宋体"/>
          <w:sz w:val="32"/>
          <w:szCs w:val="32"/>
          <w:lang w:eastAsia="zh-CN"/>
        </w:rPr>
        <w:t>。</w:t>
      </w:r>
    </w:p>
    <w:p>
      <w:pPr>
        <w:pStyle w:val="13"/>
        <w:ind w:firstLine="800" w:firstLineChars="250"/>
        <w:rPr>
          <w:rFonts w:hint="eastAsia" w:ascii="宋体" w:hAnsi="宋体" w:eastAsia="宋体"/>
          <w:sz w:val="32"/>
          <w:szCs w:val="32"/>
          <w:lang w:eastAsia="zh-CN"/>
        </w:rPr>
      </w:pPr>
      <w:r>
        <w:rPr>
          <w:rFonts w:hint="eastAsia" w:ascii="宋体" w:hAnsi="宋体" w:eastAsia="宋体"/>
          <w:sz w:val="32"/>
          <w:szCs w:val="32"/>
          <w:lang w:val="en-US" w:eastAsia="zh-CN"/>
        </w:rPr>
        <w:t>7、</w:t>
      </w:r>
      <w:r>
        <w:rPr>
          <w:rFonts w:hint="eastAsia" w:ascii="宋体" w:hAnsi="宋体" w:eastAsia="宋体"/>
          <w:sz w:val="32"/>
          <w:szCs w:val="32"/>
        </w:rPr>
        <w:t>文化旅游体育与传媒支出（类）体育（款）体育训练（项）。年初预算为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100</w:t>
      </w:r>
      <w:r>
        <w:rPr>
          <w:rFonts w:hint="eastAsia" w:ascii="宋体" w:hAnsi="宋体" w:eastAsia="宋体"/>
          <w:sz w:val="32"/>
          <w:szCs w:val="32"/>
        </w:rPr>
        <w:t>万元，由于预算数为0，无法计算百分比，</w:t>
      </w:r>
      <w:r>
        <w:rPr>
          <w:rFonts w:hint="eastAsia" w:ascii="宋体" w:hAnsi="宋体" w:eastAsia="宋体"/>
          <w:sz w:val="32"/>
          <w:szCs w:val="32"/>
          <w:lang w:eastAsia="zh-CN"/>
        </w:rPr>
        <w:t>主要原因是转拨上级单位给足球培训机构补助。</w:t>
      </w:r>
    </w:p>
    <w:p>
      <w:pPr>
        <w:pStyle w:val="13"/>
        <w:ind w:firstLine="800" w:firstLineChars="250"/>
        <w:rPr>
          <w:rFonts w:hint="eastAsia" w:ascii="宋体" w:hAnsi="宋体" w:eastAsia="宋体"/>
          <w:sz w:val="32"/>
          <w:szCs w:val="32"/>
          <w:lang w:eastAsia="zh-CN"/>
        </w:rPr>
      </w:pPr>
      <w:r>
        <w:rPr>
          <w:rFonts w:hint="eastAsia" w:ascii="宋体" w:hAnsi="宋体" w:eastAsia="宋体"/>
          <w:sz w:val="32"/>
          <w:szCs w:val="32"/>
          <w:lang w:val="en-US" w:eastAsia="zh-CN"/>
        </w:rPr>
        <w:t>8、</w:t>
      </w:r>
      <w:r>
        <w:rPr>
          <w:rFonts w:hint="eastAsia" w:ascii="宋体" w:hAnsi="宋体" w:eastAsia="宋体"/>
          <w:sz w:val="32"/>
          <w:szCs w:val="32"/>
        </w:rPr>
        <w:t>文化旅游体育与传媒支出（类）体育（款）体育场馆（项）。年初预算为</w:t>
      </w:r>
      <w:r>
        <w:rPr>
          <w:rFonts w:hint="eastAsia" w:ascii="宋体" w:hAnsi="宋体" w:eastAsia="宋体"/>
          <w:sz w:val="32"/>
          <w:szCs w:val="32"/>
          <w:lang w:val="en-US" w:eastAsia="zh-CN"/>
        </w:rPr>
        <w:t>180</w:t>
      </w:r>
      <w:r>
        <w:rPr>
          <w:rFonts w:hint="eastAsia" w:ascii="宋体" w:hAnsi="宋体" w:eastAsia="宋体"/>
          <w:sz w:val="32"/>
          <w:szCs w:val="32"/>
        </w:rPr>
        <w:t>万元，支出决算为</w:t>
      </w:r>
      <w:r>
        <w:rPr>
          <w:rFonts w:hint="eastAsia" w:ascii="宋体" w:hAnsi="宋体" w:eastAsia="宋体"/>
          <w:sz w:val="32"/>
          <w:szCs w:val="32"/>
          <w:lang w:val="en-US" w:eastAsia="zh-CN"/>
        </w:rPr>
        <w:t>282.53</w:t>
      </w:r>
      <w:r>
        <w:rPr>
          <w:rFonts w:hint="eastAsia" w:ascii="宋体" w:hAnsi="宋体" w:eastAsia="宋体"/>
          <w:sz w:val="32"/>
          <w:szCs w:val="32"/>
        </w:rPr>
        <w:t>万元，完成年初预算的</w:t>
      </w:r>
      <w:r>
        <w:rPr>
          <w:rFonts w:hint="eastAsia" w:ascii="宋体" w:hAnsi="宋体" w:eastAsia="宋体"/>
          <w:sz w:val="32"/>
          <w:szCs w:val="32"/>
          <w:lang w:val="en-US" w:eastAsia="zh-CN"/>
        </w:rPr>
        <w:t>156.96</w:t>
      </w:r>
      <w:r>
        <w:rPr>
          <w:rFonts w:hint="eastAsia" w:ascii="宋体" w:hAnsi="宋体" w:eastAsia="宋体"/>
          <w:sz w:val="32"/>
          <w:szCs w:val="32"/>
        </w:rPr>
        <w:t>%，</w:t>
      </w:r>
      <w:r>
        <w:rPr>
          <w:rFonts w:hint="eastAsia" w:ascii="宋体" w:hAnsi="宋体" w:eastAsia="宋体"/>
          <w:sz w:val="32"/>
          <w:szCs w:val="32"/>
          <w:lang w:eastAsia="zh-CN"/>
        </w:rPr>
        <w:t>主要原因是转拨上级单位给足球培训机构补助。</w:t>
      </w:r>
    </w:p>
    <w:p>
      <w:pPr>
        <w:pStyle w:val="13"/>
        <w:ind w:firstLine="800" w:firstLineChars="250"/>
        <w:rPr>
          <w:rFonts w:hint="eastAsia" w:ascii="宋体" w:hAnsi="宋体" w:eastAsia="宋体"/>
          <w:sz w:val="32"/>
          <w:szCs w:val="32"/>
          <w:lang w:eastAsia="zh-CN"/>
        </w:rPr>
      </w:pPr>
      <w:r>
        <w:rPr>
          <w:rFonts w:hint="eastAsia" w:ascii="宋体" w:hAnsi="宋体" w:eastAsia="宋体"/>
          <w:sz w:val="32"/>
          <w:szCs w:val="32"/>
          <w:lang w:val="en-US" w:eastAsia="zh-CN"/>
        </w:rPr>
        <w:t>9、</w:t>
      </w:r>
      <w:r>
        <w:rPr>
          <w:rFonts w:hint="eastAsia" w:ascii="宋体" w:hAnsi="宋体" w:eastAsia="宋体"/>
          <w:sz w:val="32"/>
          <w:szCs w:val="32"/>
        </w:rPr>
        <w:t>文化旅游体育与传媒支出（类）体育（款）其他体育支出（项）。年初预算为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200</w:t>
      </w:r>
      <w:r>
        <w:rPr>
          <w:rFonts w:hint="eastAsia" w:ascii="宋体" w:hAnsi="宋体" w:eastAsia="宋体"/>
          <w:sz w:val="32"/>
          <w:szCs w:val="32"/>
        </w:rPr>
        <w:t>万元，由于预算数为0，无法计算百分比，</w:t>
      </w:r>
      <w:r>
        <w:rPr>
          <w:rFonts w:hint="eastAsia" w:ascii="宋体" w:hAnsi="宋体" w:eastAsia="宋体"/>
          <w:sz w:val="32"/>
          <w:szCs w:val="32"/>
          <w:lang w:eastAsia="zh-CN"/>
        </w:rPr>
        <w:t>主要原因是转拨上级单位给足球培训机构补助。</w:t>
      </w:r>
    </w:p>
    <w:p>
      <w:pPr>
        <w:pStyle w:val="13"/>
        <w:ind w:firstLine="800" w:firstLineChars="250"/>
        <w:rPr>
          <w:rFonts w:hint="eastAsia" w:ascii="宋体" w:hAnsi="宋体" w:eastAsia="宋体"/>
          <w:sz w:val="32"/>
          <w:szCs w:val="32"/>
          <w:lang w:eastAsia="zh-CN"/>
        </w:rPr>
      </w:pPr>
      <w:r>
        <w:rPr>
          <w:rFonts w:hint="eastAsia" w:ascii="宋体" w:hAnsi="宋体" w:eastAsia="宋体"/>
          <w:sz w:val="32"/>
          <w:szCs w:val="32"/>
          <w:lang w:val="en-US" w:eastAsia="zh-CN"/>
        </w:rPr>
        <w:t>10、</w:t>
      </w:r>
      <w:r>
        <w:rPr>
          <w:rFonts w:hint="eastAsia" w:ascii="宋体" w:hAnsi="宋体" w:eastAsia="宋体"/>
          <w:sz w:val="32"/>
          <w:szCs w:val="32"/>
        </w:rPr>
        <w:t>文化旅游体育与传媒支出（类）其他文化旅游体育与传媒支出（款）其他文化旅游体育与传媒支出（项）。年初预算为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5</w:t>
      </w:r>
      <w:r>
        <w:rPr>
          <w:rFonts w:hint="eastAsia" w:ascii="宋体" w:hAnsi="宋体" w:eastAsia="宋体"/>
          <w:sz w:val="32"/>
          <w:szCs w:val="32"/>
        </w:rPr>
        <w:t>万元，由于预算数为0，无法计算百分比，</w:t>
      </w:r>
      <w:r>
        <w:rPr>
          <w:rFonts w:hint="eastAsia" w:ascii="宋体" w:hAnsi="宋体" w:eastAsia="宋体"/>
          <w:sz w:val="32"/>
          <w:szCs w:val="32"/>
          <w:lang w:eastAsia="zh-CN"/>
        </w:rPr>
        <w:t>主要原因是转拨上级单位给网球培训机构补助。</w:t>
      </w:r>
    </w:p>
    <w:p>
      <w:pPr>
        <w:pStyle w:val="13"/>
        <w:ind w:firstLine="800" w:firstLineChars="250"/>
        <w:rPr>
          <w:rFonts w:hint="eastAsia" w:ascii="宋体" w:hAnsi="宋体" w:eastAsia="宋体"/>
          <w:sz w:val="32"/>
          <w:szCs w:val="32"/>
          <w:lang w:eastAsia="zh-CN"/>
        </w:rPr>
      </w:pPr>
      <w:r>
        <w:rPr>
          <w:rFonts w:hint="eastAsia" w:ascii="宋体" w:hAnsi="宋体" w:eastAsia="宋体"/>
          <w:sz w:val="32"/>
          <w:szCs w:val="32"/>
          <w:lang w:val="en-US" w:eastAsia="zh-CN"/>
        </w:rPr>
        <w:t>11、</w:t>
      </w:r>
      <w:r>
        <w:rPr>
          <w:rFonts w:hint="eastAsia" w:ascii="宋体" w:hAnsi="宋体" w:eastAsia="宋体"/>
          <w:sz w:val="32"/>
          <w:szCs w:val="32"/>
        </w:rPr>
        <w:t>社会保障和就业支出（类）行政事业单位养老支出（款）事业单位离退休（项）。年初预算为</w:t>
      </w:r>
      <w:r>
        <w:rPr>
          <w:rFonts w:hint="eastAsia" w:ascii="宋体" w:hAnsi="宋体" w:eastAsia="宋体"/>
          <w:sz w:val="32"/>
          <w:szCs w:val="32"/>
          <w:lang w:val="en-US" w:eastAsia="zh-CN"/>
        </w:rPr>
        <w:t>23.11</w:t>
      </w:r>
      <w:r>
        <w:rPr>
          <w:rFonts w:hint="eastAsia" w:ascii="宋体" w:hAnsi="宋体" w:eastAsia="宋体"/>
          <w:sz w:val="32"/>
          <w:szCs w:val="32"/>
        </w:rPr>
        <w:t>万元，支出决算为</w:t>
      </w:r>
      <w:r>
        <w:rPr>
          <w:rFonts w:hint="eastAsia" w:ascii="宋体" w:hAnsi="宋体" w:eastAsia="宋体"/>
          <w:sz w:val="32"/>
          <w:szCs w:val="32"/>
          <w:lang w:val="en-US" w:eastAsia="zh-CN"/>
        </w:rPr>
        <w:t>25.02</w:t>
      </w:r>
      <w:r>
        <w:rPr>
          <w:rFonts w:hint="eastAsia" w:ascii="宋体" w:hAnsi="宋体" w:eastAsia="宋体"/>
          <w:sz w:val="32"/>
          <w:szCs w:val="32"/>
        </w:rPr>
        <w:t>万元，完成年初预算的</w:t>
      </w:r>
      <w:r>
        <w:rPr>
          <w:rFonts w:hint="eastAsia" w:ascii="宋体" w:hAnsi="宋体" w:eastAsia="宋体"/>
          <w:sz w:val="32"/>
          <w:szCs w:val="32"/>
          <w:lang w:val="en-US" w:eastAsia="zh-CN"/>
        </w:rPr>
        <w:t>108.27</w:t>
      </w:r>
      <w:r>
        <w:rPr>
          <w:rFonts w:hint="eastAsia" w:ascii="宋体" w:hAnsi="宋体" w:eastAsia="宋体"/>
          <w:sz w:val="32"/>
          <w:szCs w:val="32"/>
        </w:rPr>
        <w:t>%，</w:t>
      </w:r>
      <w:r>
        <w:rPr>
          <w:rFonts w:hint="eastAsia" w:ascii="宋体" w:hAnsi="宋体" w:eastAsia="宋体"/>
          <w:sz w:val="32"/>
          <w:szCs w:val="32"/>
          <w:lang w:eastAsia="zh-CN"/>
        </w:rPr>
        <w:t>主要原因是退休人员绩效调标，导致离退休人员费用增加。</w:t>
      </w:r>
    </w:p>
    <w:p>
      <w:pPr>
        <w:pStyle w:val="13"/>
        <w:ind w:firstLine="800" w:firstLineChars="250"/>
        <w:rPr>
          <w:rFonts w:hint="eastAsia" w:ascii="宋体" w:hAnsi="宋体" w:eastAsia="宋体"/>
          <w:sz w:val="32"/>
          <w:szCs w:val="32"/>
          <w:lang w:eastAsia="zh-CN"/>
        </w:rPr>
      </w:pPr>
      <w:r>
        <w:rPr>
          <w:rFonts w:hint="eastAsia" w:ascii="宋体" w:hAnsi="宋体" w:eastAsia="宋体"/>
          <w:sz w:val="32"/>
          <w:szCs w:val="32"/>
          <w:lang w:val="en-US" w:eastAsia="zh-CN"/>
        </w:rPr>
        <w:t>12、</w:t>
      </w:r>
      <w:r>
        <w:rPr>
          <w:rFonts w:hint="eastAsia" w:ascii="宋体" w:hAnsi="宋体" w:eastAsia="宋体"/>
          <w:sz w:val="32"/>
          <w:szCs w:val="32"/>
        </w:rPr>
        <w:t>社会保障和就业支出（类）行政事业单位养老支出（款）机关事业单位基本养老保险缴费支出（项）。年初预算为</w:t>
      </w:r>
      <w:r>
        <w:rPr>
          <w:rFonts w:hint="eastAsia" w:ascii="宋体" w:hAnsi="宋体" w:eastAsia="宋体"/>
          <w:sz w:val="32"/>
          <w:szCs w:val="32"/>
          <w:lang w:val="en-US" w:eastAsia="zh-CN"/>
        </w:rPr>
        <w:t>19.85</w:t>
      </w:r>
      <w:r>
        <w:rPr>
          <w:rFonts w:hint="eastAsia" w:ascii="宋体" w:hAnsi="宋体" w:eastAsia="宋体"/>
          <w:sz w:val="32"/>
          <w:szCs w:val="32"/>
        </w:rPr>
        <w:t>万元，支出决算为</w:t>
      </w:r>
      <w:r>
        <w:rPr>
          <w:rFonts w:hint="eastAsia" w:ascii="宋体" w:hAnsi="宋体" w:eastAsia="宋体"/>
          <w:sz w:val="32"/>
          <w:szCs w:val="32"/>
          <w:lang w:val="en-US" w:eastAsia="zh-CN"/>
        </w:rPr>
        <w:t>20.83</w:t>
      </w:r>
      <w:r>
        <w:rPr>
          <w:rFonts w:hint="eastAsia" w:ascii="宋体" w:hAnsi="宋体" w:eastAsia="宋体"/>
          <w:sz w:val="32"/>
          <w:szCs w:val="32"/>
        </w:rPr>
        <w:t>万元，完成年初预算的</w:t>
      </w:r>
      <w:r>
        <w:rPr>
          <w:rFonts w:hint="eastAsia" w:ascii="宋体" w:hAnsi="宋体" w:eastAsia="宋体"/>
          <w:sz w:val="32"/>
          <w:szCs w:val="32"/>
          <w:lang w:val="en-US" w:eastAsia="zh-CN"/>
        </w:rPr>
        <w:t>104.94</w:t>
      </w:r>
      <w:r>
        <w:rPr>
          <w:rFonts w:hint="eastAsia" w:ascii="宋体" w:hAnsi="宋体" w:eastAsia="宋体"/>
          <w:sz w:val="32"/>
          <w:szCs w:val="32"/>
        </w:rPr>
        <w:t>%，</w:t>
      </w:r>
      <w:r>
        <w:rPr>
          <w:rFonts w:hint="eastAsia" w:ascii="宋体" w:hAnsi="宋体" w:eastAsia="宋体"/>
          <w:sz w:val="32"/>
          <w:szCs w:val="32"/>
          <w:lang w:eastAsia="zh-CN"/>
        </w:rPr>
        <w:t>主要原因是职工工资调标，引起养老保险费用增加。</w:t>
      </w:r>
    </w:p>
    <w:p>
      <w:pPr>
        <w:pStyle w:val="13"/>
        <w:ind w:firstLine="800" w:firstLineChars="250"/>
        <w:rPr>
          <w:rFonts w:hint="eastAsia" w:ascii="宋体" w:hAnsi="宋体" w:eastAsia="宋体"/>
          <w:sz w:val="32"/>
          <w:szCs w:val="32"/>
          <w:lang w:eastAsia="zh-CN"/>
        </w:rPr>
      </w:pPr>
      <w:r>
        <w:rPr>
          <w:rFonts w:hint="eastAsia" w:ascii="宋体" w:hAnsi="宋体" w:eastAsia="宋体"/>
          <w:sz w:val="32"/>
          <w:szCs w:val="32"/>
          <w:lang w:val="en-US" w:eastAsia="zh-CN"/>
        </w:rPr>
        <w:t>13、</w:t>
      </w:r>
      <w:r>
        <w:rPr>
          <w:rFonts w:hint="eastAsia" w:ascii="宋体" w:hAnsi="宋体" w:eastAsia="宋体"/>
          <w:sz w:val="32"/>
          <w:szCs w:val="32"/>
        </w:rPr>
        <w:t>社会保障和就业支出（类）行政事业单位养老支出（款）机关事业单位基本养老保险缴费支出（项）。年初预算为</w:t>
      </w:r>
      <w:r>
        <w:rPr>
          <w:rFonts w:hint="eastAsia" w:ascii="宋体" w:hAnsi="宋体" w:eastAsia="宋体"/>
          <w:sz w:val="32"/>
          <w:szCs w:val="32"/>
          <w:lang w:val="en-US" w:eastAsia="zh-CN"/>
        </w:rPr>
        <w:t>9.93</w:t>
      </w:r>
      <w:r>
        <w:rPr>
          <w:rFonts w:hint="eastAsia" w:ascii="宋体" w:hAnsi="宋体" w:eastAsia="宋体"/>
          <w:sz w:val="32"/>
          <w:szCs w:val="32"/>
        </w:rPr>
        <w:t>万元，支出决算为</w:t>
      </w:r>
      <w:r>
        <w:rPr>
          <w:rFonts w:hint="eastAsia" w:ascii="宋体" w:hAnsi="宋体" w:eastAsia="宋体"/>
          <w:sz w:val="32"/>
          <w:szCs w:val="32"/>
          <w:lang w:val="en-US" w:eastAsia="zh-CN"/>
        </w:rPr>
        <w:t>9.93</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w:t>
      </w:r>
      <w:r>
        <w:rPr>
          <w:rFonts w:hint="eastAsia" w:ascii="宋体" w:hAnsi="宋体" w:eastAsia="宋体"/>
          <w:sz w:val="32"/>
          <w:szCs w:val="32"/>
          <w:lang w:eastAsia="zh-CN"/>
        </w:rPr>
        <w:t>。</w:t>
      </w:r>
    </w:p>
    <w:p>
      <w:pPr>
        <w:pStyle w:val="13"/>
        <w:ind w:firstLine="800" w:firstLineChars="250"/>
        <w:rPr>
          <w:rFonts w:hint="eastAsia" w:ascii="宋体" w:hAnsi="宋体" w:eastAsia="宋体"/>
          <w:sz w:val="32"/>
          <w:szCs w:val="32"/>
          <w:lang w:eastAsia="zh-CN"/>
        </w:rPr>
      </w:pPr>
      <w:r>
        <w:rPr>
          <w:rFonts w:hint="eastAsia" w:ascii="宋体" w:hAnsi="宋体" w:eastAsia="宋体"/>
          <w:sz w:val="32"/>
          <w:szCs w:val="32"/>
          <w:lang w:val="en-US" w:eastAsia="zh-CN"/>
        </w:rPr>
        <w:t>14、</w:t>
      </w:r>
      <w:r>
        <w:rPr>
          <w:rFonts w:hint="eastAsia" w:ascii="宋体" w:hAnsi="宋体" w:eastAsia="宋体"/>
          <w:sz w:val="32"/>
          <w:szCs w:val="32"/>
        </w:rPr>
        <w:t>卫生健康支出（类）行政事业单位医疗（款）事业单位医疗（项）。年初预算为</w:t>
      </w:r>
      <w:r>
        <w:rPr>
          <w:rFonts w:hint="eastAsia" w:ascii="宋体" w:hAnsi="宋体" w:eastAsia="宋体"/>
          <w:sz w:val="32"/>
          <w:szCs w:val="32"/>
          <w:lang w:val="en-US" w:eastAsia="zh-CN"/>
        </w:rPr>
        <w:t>18.15</w:t>
      </w:r>
      <w:r>
        <w:rPr>
          <w:rFonts w:hint="eastAsia" w:ascii="宋体" w:hAnsi="宋体" w:eastAsia="宋体"/>
          <w:sz w:val="32"/>
          <w:szCs w:val="32"/>
        </w:rPr>
        <w:t>万元，支出决算为</w:t>
      </w:r>
      <w:r>
        <w:rPr>
          <w:rFonts w:hint="eastAsia" w:ascii="宋体" w:hAnsi="宋体" w:eastAsia="宋体"/>
          <w:sz w:val="32"/>
          <w:szCs w:val="32"/>
          <w:lang w:val="en-US" w:eastAsia="zh-CN"/>
        </w:rPr>
        <w:t>18.15</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w:t>
      </w:r>
      <w:r>
        <w:rPr>
          <w:rFonts w:hint="eastAsia" w:ascii="宋体" w:hAnsi="宋体" w:eastAsia="宋体"/>
          <w:sz w:val="32"/>
          <w:szCs w:val="32"/>
          <w:lang w:eastAsia="zh-CN"/>
        </w:rPr>
        <w:t>。</w:t>
      </w:r>
    </w:p>
    <w:p>
      <w:pPr>
        <w:pStyle w:val="13"/>
        <w:ind w:firstLine="800" w:firstLineChars="250"/>
        <w:rPr>
          <w:rFonts w:hint="eastAsia" w:ascii="宋体" w:hAnsi="宋体" w:eastAsia="宋体"/>
          <w:sz w:val="32"/>
          <w:szCs w:val="32"/>
          <w:lang w:eastAsia="zh-CN"/>
        </w:rPr>
      </w:pPr>
      <w:r>
        <w:rPr>
          <w:rFonts w:hint="eastAsia" w:ascii="宋体" w:hAnsi="宋体" w:eastAsia="宋体"/>
          <w:sz w:val="32"/>
          <w:szCs w:val="32"/>
          <w:lang w:val="en-US" w:eastAsia="zh-CN"/>
        </w:rPr>
        <w:t>15、</w:t>
      </w:r>
      <w:r>
        <w:rPr>
          <w:rFonts w:hint="eastAsia" w:ascii="宋体" w:hAnsi="宋体" w:eastAsia="宋体"/>
          <w:sz w:val="32"/>
          <w:szCs w:val="32"/>
        </w:rPr>
        <w:t>卫生健康支出（类）行政事业单位医疗（款）公务员医疗补助（项）。年初预算为</w:t>
      </w:r>
      <w:r>
        <w:rPr>
          <w:rFonts w:hint="eastAsia" w:ascii="宋体" w:hAnsi="宋体" w:eastAsia="宋体"/>
          <w:sz w:val="32"/>
          <w:szCs w:val="32"/>
          <w:lang w:val="en-US" w:eastAsia="zh-CN"/>
        </w:rPr>
        <w:t>10.16</w:t>
      </w:r>
      <w:r>
        <w:rPr>
          <w:rFonts w:hint="eastAsia" w:ascii="宋体" w:hAnsi="宋体" w:eastAsia="宋体"/>
          <w:sz w:val="32"/>
          <w:szCs w:val="32"/>
        </w:rPr>
        <w:t>万元，支出决算为</w:t>
      </w:r>
      <w:r>
        <w:rPr>
          <w:rFonts w:hint="eastAsia" w:ascii="宋体" w:hAnsi="宋体" w:eastAsia="宋体"/>
          <w:sz w:val="32"/>
          <w:szCs w:val="32"/>
          <w:lang w:val="en-US" w:eastAsia="zh-CN"/>
        </w:rPr>
        <w:t>10.16</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w:t>
      </w:r>
      <w:r>
        <w:rPr>
          <w:rFonts w:hint="eastAsia" w:ascii="宋体" w:hAnsi="宋体" w:eastAsia="宋体"/>
          <w:sz w:val="32"/>
          <w:szCs w:val="32"/>
          <w:lang w:eastAsia="zh-CN"/>
        </w:rPr>
        <w:t>。</w:t>
      </w:r>
    </w:p>
    <w:p>
      <w:pPr>
        <w:pStyle w:val="13"/>
        <w:ind w:firstLine="800" w:firstLineChars="250"/>
        <w:rPr>
          <w:rFonts w:hint="eastAsia" w:ascii="宋体" w:hAnsi="宋体" w:eastAsia="宋体"/>
          <w:sz w:val="32"/>
          <w:szCs w:val="32"/>
          <w:lang w:eastAsia="zh-CN"/>
        </w:rPr>
      </w:pPr>
      <w:r>
        <w:rPr>
          <w:rFonts w:hint="eastAsia" w:ascii="宋体" w:hAnsi="宋体" w:eastAsia="宋体"/>
          <w:sz w:val="32"/>
          <w:szCs w:val="32"/>
          <w:lang w:val="en-US" w:eastAsia="zh-CN"/>
        </w:rPr>
        <w:t>16、</w:t>
      </w:r>
      <w:r>
        <w:rPr>
          <w:rFonts w:hint="eastAsia" w:ascii="宋体" w:hAnsi="宋体" w:eastAsia="宋体"/>
          <w:sz w:val="32"/>
          <w:szCs w:val="32"/>
        </w:rPr>
        <w:t>住房保障支出（类）住房改革支出（款）住房公积金（项）。年初预算为</w:t>
      </w:r>
      <w:r>
        <w:rPr>
          <w:rFonts w:hint="eastAsia" w:ascii="宋体" w:hAnsi="宋体" w:eastAsia="宋体"/>
          <w:sz w:val="32"/>
          <w:szCs w:val="32"/>
          <w:lang w:val="en-US" w:eastAsia="zh-CN"/>
        </w:rPr>
        <w:t>20.82</w:t>
      </w:r>
      <w:r>
        <w:rPr>
          <w:rFonts w:hint="eastAsia" w:ascii="宋体" w:hAnsi="宋体" w:eastAsia="宋体"/>
          <w:sz w:val="32"/>
          <w:szCs w:val="32"/>
        </w:rPr>
        <w:t>万元，支出决算为</w:t>
      </w:r>
      <w:r>
        <w:rPr>
          <w:rFonts w:hint="eastAsia" w:ascii="宋体" w:hAnsi="宋体" w:eastAsia="宋体"/>
          <w:sz w:val="32"/>
          <w:szCs w:val="32"/>
          <w:lang w:val="en-US" w:eastAsia="zh-CN"/>
        </w:rPr>
        <w:t>23.04</w:t>
      </w:r>
      <w:r>
        <w:rPr>
          <w:rFonts w:hint="eastAsia" w:ascii="宋体" w:hAnsi="宋体" w:eastAsia="宋体"/>
          <w:sz w:val="32"/>
          <w:szCs w:val="32"/>
        </w:rPr>
        <w:t>万元，完成年初预算的</w:t>
      </w:r>
      <w:r>
        <w:rPr>
          <w:rFonts w:hint="eastAsia" w:ascii="宋体" w:hAnsi="宋体" w:eastAsia="宋体"/>
          <w:sz w:val="32"/>
          <w:szCs w:val="32"/>
          <w:lang w:val="en-US" w:eastAsia="zh-CN"/>
        </w:rPr>
        <w:t>110.66</w:t>
      </w:r>
      <w:r>
        <w:rPr>
          <w:rFonts w:hint="eastAsia" w:ascii="宋体" w:hAnsi="宋体" w:eastAsia="宋体"/>
          <w:sz w:val="32"/>
          <w:szCs w:val="32"/>
        </w:rPr>
        <w:t>%</w:t>
      </w:r>
      <w:r>
        <w:rPr>
          <w:rFonts w:hint="eastAsia" w:ascii="宋体" w:hAnsi="宋体" w:eastAsia="宋体"/>
          <w:sz w:val="32"/>
          <w:szCs w:val="32"/>
          <w:lang w:eastAsia="zh-CN"/>
        </w:rPr>
        <w:t>。主要原因是职工工资调标，引起公积金增加。</w:t>
      </w:r>
    </w:p>
    <w:p>
      <w:pPr>
        <w:pStyle w:val="13"/>
        <w:ind w:firstLine="800" w:firstLineChars="250"/>
        <w:rPr>
          <w:rFonts w:hint="default" w:ascii="宋体" w:hAnsi="宋体" w:eastAsia="宋体"/>
          <w:color w:val="FF0000"/>
          <w:sz w:val="32"/>
          <w:szCs w:val="32"/>
          <w:highlight w:val="none"/>
          <w:lang w:val="en-US"/>
        </w:rPr>
      </w:pPr>
      <w:r>
        <w:rPr>
          <w:rFonts w:hint="eastAsia" w:ascii="宋体" w:hAnsi="宋体" w:eastAsia="宋体"/>
          <w:sz w:val="32"/>
          <w:szCs w:val="32"/>
          <w:lang w:val="en-US" w:eastAsia="zh-CN"/>
        </w:rPr>
        <w:t>17、</w:t>
      </w:r>
      <w:r>
        <w:rPr>
          <w:rFonts w:hint="eastAsia" w:ascii="宋体" w:hAnsi="宋体" w:eastAsia="宋体"/>
          <w:sz w:val="32"/>
          <w:szCs w:val="32"/>
        </w:rPr>
        <w:t>其他支出（类）其他支出（款）其</w:t>
      </w:r>
      <w:r>
        <w:rPr>
          <w:rFonts w:hint="eastAsia" w:ascii="宋体" w:hAnsi="宋体" w:eastAsia="宋体"/>
          <w:sz w:val="32"/>
          <w:szCs w:val="32"/>
          <w:highlight w:val="none"/>
        </w:rPr>
        <w:t>他支出（项）。年初预算为</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0.62</w:t>
      </w:r>
      <w:r>
        <w:rPr>
          <w:rFonts w:hint="eastAsia" w:ascii="宋体" w:hAnsi="宋体" w:eastAsia="宋体"/>
          <w:sz w:val="32"/>
          <w:szCs w:val="32"/>
          <w:highlight w:val="none"/>
        </w:rPr>
        <w:t>万元，</w:t>
      </w:r>
      <w:r>
        <w:rPr>
          <w:rFonts w:hint="eastAsia" w:ascii="宋体" w:hAnsi="宋体" w:eastAsia="宋体"/>
          <w:sz w:val="32"/>
          <w:szCs w:val="32"/>
          <w:highlight w:val="none"/>
          <w:lang w:eastAsia="zh-CN"/>
        </w:rPr>
        <w:t>年中追加</w:t>
      </w:r>
      <w:r>
        <w:rPr>
          <w:rFonts w:hint="eastAsia" w:ascii="宋体" w:hAnsi="宋体" w:eastAsia="宋体"/>
          <w:sz w:val="32"/>
          <w:szCs w:val="32"/>
          <w:highlight w:val="none"/>
        </w:rPr>
        <w:t>预算</w:t>
      </w:r>
      <w:r>
        <w:rPr>
          <w:rFonts w:hint="eastAsia" w:ascii="宋体" w:hAnsi="宋体" w:eastAsia="宋体"/>
          <w:sz w:val="32"/>
          <w:szCs w:val="32"/>
          <w:highlight w:val="none"/>
          <w:lang w:val="en-US" w:eastAsia="zh-CN"/>
        </w:rPr>
        <w:t>0.62</w:t>
      </w:r>
      <w:r>
        <w:rPr>
          <w:rFonts w:hint="eastAsia" w:ascii="宋体" w:hAnsi="宋体" w:eastAsia="宋体"/>
          <w:sz w:val="32"/>
          <w:szCs w:val="32"/>
          <w:highlight w:val="none"/>
        </w:rPr>
        <w:t>万元</w:t>
      </w:r>
      <w:r>
        <w:rPr>
          <w:rFonts w:hint="eastAsia" w:ascii="宋体" w:hAnsi="宋体" w:eastAsia="宋体"/>
          <w:sz w:val="32"/>
          <w:szCs w:val="32"/>
          <w:highlight w:val="none"/>
          <w:lang w:eastAsia="zh-CN"/>
        </w:rPr>
        <w:t>，</w:t>
      </w:r>
      <w:r>
        <w:rPr>
          <w:rFonts w:hint="eastAsia" w:ascii="宋体" w:hAnsi="宋体" w:eastAsia="宋体"/>
          <w:sz w:val="32"/>
          <w:szCs w:val="32"/>
          <w:highlight w:val="none"/>
          <w:lang w:eastAsia="zh-CN"/>
        </w:rPr>
        <w:t>主要是因为代扣临聘人员</w:t>
      </w:r>
      <w:r>
        <w:rPr>
          <w:rFonts w:hint="eastAsia" w:ascii="宋体" w:hAnsi="宋体" w:eastAsia="宋体"/>
          <w:sz w:val="32"/>
          <w:szCs w:val="32"/>
          <w:highlight w:val="none"/>
          <w:lang w:val="en-US" w:eastAsia="zh-CN"/>
        </w:rPr>
        <w:t>14人养老保险等。</w:t>
      </w:r>
    </w:p>
    <w:p>
      <w:pPr>
        <w:pStyle w:val="13"/>
        <w:rPr>
          <w:rFonts w:hAnsi="黑体"/>
          <w:b/>
          <w:sz w:val="32"/>
          <w:szCs w:val="32"/>
        </w:rPr>
      </w:pPr>
      <w:r>
        <w:rPr>
          <w:rFonts w:hint="eastAsia" w:hAnsi="黑体"/>
          <w:b/>
          <w:sz w:val="32"/>
          <w:szCs w:val="32"/>
        </w:rPr>
        <w:t>六、一般公共预算财政拨款基本支出决算情况说明</w:t>
      </w:r>
    </w:p>
    <w:p>
      <w:pPr>
        <w:pStyle w:val="13"/>
        <w:ind w:firstLine="640" w:firstLineChars="200"/>
        <w:rPr>
          <w:rFonts w:hint="eastAsia" w:ascii="宋体" w:hAnsi="宋体" w:eastAsia="宋体"/>
          <w:i/>
          <w:color w:val="FF0000"/>
          <w:sz w:val="32"/>
          <w:szCs w:val="32"/>
          <w:lang w:eastAsia="zh-CN"/>
        </w:rPr>
      </w:pPr>
      <w:r>
        <w:rPr>
          <w:rFonts w:hint="eastAsia" w:ascii="宋体" w:hAnsi="宋体" w:eastAsia="宋体"/>
          <w:sz w:val="32"/>
          <w:szCs w:val="32"/>
        </w:rPr>
        <w:t>2021年度财政拨款基本支出287.22万元，其中：人员经费256.63万元，占基本支出的</w:t>
      </w:r>
      <w:r>
        <w:rPr>
          <w:rFonts w:hint="eastAsia" w:ascii="宋体" w:hAnsi="宋体" w:eastAsia="宋体"/>
          <w:sz w:val="32"/>
          <w:szCs w:val="32"/>
          <w:lang w:val="en-US" w:eastAsia="zh-CN"/>
        </w:rPr>
        <w:t>89.35</w:t>
      </w:r>
      <w:r>
        <w:rPr>
          <w:rFonts w:hint="eastAsia" w:ascii="宋体" w:hAnsi="宋体" w:eastAsia="宋体"/>
          <w:sz w:val="32"/>
          <w:szCs w:val="32"/>
        </w:rPr>
        <w:t>%,主要包括基本工资、津贴补贴、奖金、伙食补助费；公用经费30.59万元，占基本支出的</w:t>
      </w:r>
      <w:r>
        <w:rPr>
          <w:rFonts w:hint="eastAsia" w:ascii="宋体" w:hAnsi="宋体" w:eastAsia="宋体"/>
          <w:sz w:val="32"/>
          <w:szCs w:val="32"/>
          <w:lang w:val="en-US" w:eastAsia="zh-CN"/>
        </w:rPr>
        <w:t>10.65</w:t>
      </w:r>
      <w:r>
        <w:rPr>
          <w:rFonts w:hint="eastAsia" w:ascii="宋体" w:hAnsi="宋体" w:eastAsia="宋体"/>
          <w:sz w:val="32"/>
          <w:szCs w:val="32"/>
        </w:rPr>
        <w:t>%，主要包括办公费、印刷费、咨询费、</w:t>
      </w:r>
      <w:r>
        <w:rPr>
          <w:rFonts w:hint="eastAsia" w:ascii="宋体" w:hAnsi="宋体" w:eastAsia="宋体"/>
          <w:sz w:val="32"/>
          <w:szCs w:val="32"/>
          <w:lang w:eastAsia="zh-CN"/>
        </w:rPr>
        <w:t>差旅费等。</w:t>
      </w:r>
    </w:p>
    <w:p>
      <w:pPr>
        <w:pStyle w:val="13"/>
        <w:rPr>
          <w:rFonts w:hAnsi="黑体"/>
          <w:b/>
          <w:sz w:val="32"/>
          <w:szCs w:val="32"/>
        </w:rPr>
      </w:pPr>
      <w:r>
        <w:rPr>
          <w:rFonts w:hint="eastAsia" w:hAnsi="黑体"/>
          <w:b/>
          <w:sz w:val="32"/>
          <w:szCs w:val="32"/>
        </w:rPr>
        <w:t>七、一般公共预算财政拨款“三公”经费支出决算情况说明</w:t>
      </w:r>
    </w:p>
    <w:p>
      <w:pPr>
        <w:pStyle w:val="13"/>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13"/>
        <w:ind w:firstLine="800" w:firstLineChars="250"/>
        <w:rPr>
          <w:rFonts w:ascii="宋体" w:hAnsi="宋体" w:eastAsia="宋体"/>
          <w:sz w:val="32"/>
          <w:szCs w:val="32"/>
        </w:rPr>
      </w:pPr>
      <w:r>
        <w:rPr>
          <w:rFonts w:hint="eastAsia" w:ascii="宋体" w:hAnsi="宋体" w:eastAsia="宋体"/>
          <w:sz w:val="32"/>
          <w:szCs w:val="32"/>
        </w:rPr>
        <w:t>2021年度“三公”经费财政拨款支出预算为</w:t>
      </w:r>
      <w:r>
        <w:rPr>
          <w:rFonts w:hint="eastAsia" w:ascii="宋体" w:hAnsi="宋体" w:eastAsia="宋体"/>
          <w:sz w:val="32"/>
          <w:szCs w:val="32"/>
          <w:lang w:val="en-US" w:eastAsia="zh-CN"/>
        </w:rPr>
        <w:t>1.8</w:t>
      </w:r>
      <w:r>
        <w:rPr>
          <w:rFonts w:hint="eastAsia" w:ascii="宋体" w:hAnsi="宋体" w:eastAsia="宋体"/>
          <w:sz w:val="32"/>
          <w:szCs w:val="32"/>
        </w:rPr>
        <w:t>万元，支出决算为</w:t>
      </w:r>
      <w:r>
        <w:rPr>
          <w:rFonts w:hint="eastAsia" w:ascii="宋体" w:hAnsi="宋体" w:eastAsia="宋体"/>
          <w:sz w:val="32"/>
          <w:szCs w:val="32"/>
          <w:lang w:val="en-US" w:eastAsia="zh-CN"/>
        </w:rPr>
        <w:t>0</w:t>
      </w:r>
      <w:r>
        <w:rPr>
          <w:rFonts w:hint="eastAsia" w:ascii="宋体" w:hAnsi="宋体" w:eastAsia="宋体"/>
          <w:sz w:val="32"/>
          <w:szCs w:val="32"/>
        </w:rPr>
        <w:t>万元，完成预算的</w:t>
      </w:r>
      <w:r>
        <w:rPr>
          <w:rFonts w:hint="eastAsia" w:ascii="宋体" w:hAnsi="宋体" w:eastAsia="宋体"/>
          <w:sz w:val="32"/>
          <w:szCs w:val="32"/>
          <w:lang w:val="en-US" w:eastAsia="zh-CN"/>
        </w:rPr>
        <w:t>0</w:t>
      </w:r>
      <w:r>
        <w:rPr>
          <w:rFonts w:hint="eastAsia" w:ascii="宋体" w:hAnsi="宋体" w:eastAsia="宋体"/>
          <w:sz w:val="32"/>
          <w:szCs w:val="32"/>
        </w:rPr>
        <w:t>%，其中：</w:t>
      </w:r>
    </w:p>
    <w:p>
      <w:pPr>
        <w:pStyle w:val="13"/>
        <w:ind w:firstLine="800" w:firstLineChars="250"/>
        <w:rPr>
          <w:rFonts w:hint="default" w:ascii="宋体" w:hAnsi="宋体" w:eastAsia="宋体"/>
          <w:sz w:val="32"/>
          <w:szCs w:val="32"/>
          <w:lang w:val="en-US"/>
        </w:rPr>
      </w:pPr>
      <w:r>
        <w:rPr>
          <w:rFonts w:hint="eastAsia" w:ascii="宋体" w:hAnsi="宋体" w:eastAsia="宋体"/>
          <w:sz w:val="32"/>
          <w:szCs w:val="32"/>
        </w:rPr>
        <w:t>因公出国（境）费</w:t>
      </w:r>
      <w:r>
        <w:rPr>
          <w:rFonts w:hint="eastAsia" w:ascii="宋体" w:hAnsi="宋体" w:eastAsia="宋体"/>
          <w:sz w:val="32"/>
          <w:szCs w:val="32"/>
          <w:highlight w:val="none"/>
        </w:rPr>
        <w:t>支出预算为</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万元，由于预算数为0，无法计算百分比，</w:t>
      </w:r>
      <w:r>
        <w:rPr>
          <w:rFonts w:hint="eastAsia" w:ascii="宋体" w:hAnsi="宋体" w:eastAsia="宋体"/>
          <w:sz w:val="32"/>
          <w:szCs w:val="32"/>
          <w:highlight w:val="none"/>
        </w:rPr>
        <w:t>决算数</w:t>
      </w:r>
      <w:r>
        <w:rPr>
          <w:rFonts w:hint="eastAsia" w:ascii="宋体" w:hAnsi="宋体" w:eastAsia="宋体"/>
          <w:sz w:val="32"/>
          <w:szCs w:val="32"/>
          <w:highlight w:val="none"/>
          <w:lang w:val="en-US" w:eastAsia="zh-CN"/>
        </w:rPr>
        <w:t>等于</w:t>
      </w:r>
      <w:r>
        <w:rPr>
          <w:rFonts w:hint="eastAsia" w:ascii="宋体" w:hAnsi="宋体" w:eastAsia="宋体"/>
          <w:sz w:val="32"/>
          <w:szCs w:val="32"/>
          <w:highlight w:val="none"/>
        </w:rPr>
        <w:t>预算数的主要原因是</w:t>
      </w:r>
      <w:r>
        <w:rPr>
          <w:rFonts w:hint="eastAsia" w:ascii="宋体" w:hAnsi="宋体" w:eastAsia="宋体"/>
          <w:sz w:val="32"/>
          <w:szCs w:val="32"/>
          <w:highlight w:val="none"/>
          <w:lang w:eastAsia="zh-CN"/>
        </w:rPr>
        <w:t>我单位多年来无</w:t>
      </w:r>
      <w:r>
        <w:rPr>
          <w:rFonts w:hint="eastAsia" w:ascii="宋体" w:hAnsi="宋体" w:eastAsia="宋体"/>
          <w:sz w:val="32"/>
          <w:szCs w:val="32"/>
          <w:highlight w:val="none"/>
        </w:rPr>
        <w:t>因公出国（境）费支出，</w:t>
      </w:r>
      <w:r>
        <w:rPr>
          <w:rFonts w:hint="eastAsia" w:ascii="宋体" w:hAnsi="宋体" w:eastAsia="宋体"/>
          <w:sz w:val="32"/>
          <w:szCs w:val="32"/>
          <w:highlight w:val="none"/>
        </w:rPr>
        <w:t>与上年相比</w:t>
      </w:r>
      <w:r>
        <w:rPr>
          <w:rFonts w:hint="eastAsia" w:ascii="宋体" w:hAnsi="宋体" w:eastAsia="宋体"/>
          <w:sz w:val="32"/>
          <w:szCs w:val="32"/>
          <w:highlight w:val="none"/>
          <w:lang w:eastAsia="zh-CN"/>
        </w:rPr>
        <w:t>无变动，</w:t>
      </w:r>
      <w:r>
        <w:rPr>
          <w:rFonts w:hint="eastAsia" w:ascii="宋体" w:hAnsi="宋体" w:eastAsia="宋体"/>
          <w:sz w:val="32"/>
          <w:szCs w:val="32"/>
          <w:highlight w:val="none"/>
          <w:lang w:val="en-US" w:eastAsia="zh-CN"/>
        </w:rPr>
        <w:t>原因是2021年未发生该项费用支出。</w:t>
      </w:r>
    </w:p>
    <w:p>
      <w:pPr>
        <w:pStyle w:val="13"/>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hint="eastAsia" w:ascii="宋体" w:hAnsi="宋体" w:eastAsia="宋体"/>
          <w:sz w:val="32"/>
          <w:szCs w:val="32"/>
          <w:lang w:val="en-US" w:eastAsia="zh-CN"/>
        </w:rPr>
        <w:t>1.8</w:t>
      </w:r>
      <w:r>
        <w:rPr>
          <w:rFonts w:hint="eastAsia" w:ascii="宋体" w:hAnsi="宋体" w:eastAsia="宋体"/>
          <w:sz w:val="32"/>
          <w:szCs w:val="32"/>
        </w:rPr>
        <w:t>万元，支出决算为</w:t>
      </w:r>
      <w:r>
        <w:rPr>
          <w:rFonts w:hint="eastAsia" w:ascii="宋体" w:hAnsi="宋体" w:eastAsia="宋体"/>
          <w:sz w:val="32"/>
          <w:szCs w:val="32"/>
          <w:lang w:val="en-US" w:eastAsia="zh-CN"/>
        </w:rPr>
        <w:t>0</w:t>
      </w:r>
      <w:r>
        <w:rPr>
          <w:rFonts w:hint="eastAsia" w:ascii="宋体" w:hAnsi="宋体" w:eastAsia="宋体"/>
          <w:sz w:val="32"/>
          <w:szCs w:val="32"/>
        </w:rPr>
        <w:t>万元，完成预算的</w:t>
      </w:r>
      <w:r>
        <w:rPr>
          <w:rFonts w:hint="eastAsia" w:ascii="宋体" w:hAnsi="宋体" w:eastAsia="宋体"/>
          <w:sz w:val="32"/>
          <w:szCs w:val="32"/>
          <w:lang w:val="en-US" w:eastAsia="zh-CN"/>
        </w:rPr>
        <w:t>0</w:t>
      </w:r>
      <w:r>
        <w:rPr>
          <w:rFonts w:hint="eastAsia" w:ascii="宋体" w:hAnsi="宋体" w:eastAsia="宋体"/>
          <w:sz w:val="32"/>
          <w:szCs w:val="32"/>
        </w:rPr>
        <w:t>%，决算数小于预算数的主要原因是</w:t>
      </w:r>
      <w:r>
        <w:rPr>
          <w:rFonts w:hint="eastAsia" w:ascii="宋体" w:hAnsi="宋体" w:eastAsia="宋体"/>
          <w:sz w:val="32"/>
          <w:szCs w:val="32"/>
          <w:lang w:eastAsia="zh-CN"/>
        </w:rPr>
        <w:t>受疫情影响，无公务接待支出</w:t>
      </w:r>
      <w:r>
        <w:rPr>
          <w:rFonts w:hint="eastAsia" w:ascii="宋体" w:hAnsi="宋体" w:eastAsia="宋体"/>
          <w:sz w:val="32"/>
          <w:szCs w:val="32"/>
        </w:rPr>
        <w:t>，与上年相比减少</w:t>
      </w:r>
      <w:r>
        <w:rPr>
          <w:rFonts w:hint="eastAsia" w:ascii="宋体" w:hAnsi="宋体" w:eastAsia="宋体"/>
          <w:sz w:val="32"/>
          <w:szCs w:val="32"/>
          <w:lang w:val="en-US" w:eastAsia="zh-CN"/>
        </w:rPr>
        <w:t>920</w:t>
      </w:r>
      <w:r>
        <w:rPr>
          <w:rFonts w:hint="eastAsia" w:ascii="宋体" w:hAnsi="宋体" w:eastAsia="宋体"/>
          <w:sz w:val="32"/>
          <w:szCs w:val="32"/>
        </w:rPr>
        <w:t>万元，减少</w:t>
      </w:r>
      <w:r>
        <w:rPr>
          <w:rFonts w:hint="eastAsia" w:ascii="宋体" w:hAnsi="宋体" w:eastAsia="宋体"/>
          <w:sz w:val="32"/>
          <w:szCs w:val="32"/>
          <w:lang w:val="en-US" w:eastAsia="zh-CN"/>
        </w:rPr>
        <w:t>100</w:t>
      </w:r>
      <w:r>
        <w:rPr>
          <w:rFonts w:hint="eastAsia" w:ascii="宋体" w:hAnsi="宋体" w:eastAsia="宋体"/>
          <w:sz w:val="32"/>
          <w:szCs w:val="32"/>
        </w:rPr>
        <w:t>%,减少的主要原因是</w:t>
      </w:r>
      <w:r>
        <w:rPr>
          <w:rFonts w:hint="eastAsia" w:ascii="宋体" w:hAnsi="宋体" w:eastAsia="宋体"/>
          <w:sz w:val="32"/>
          <w:szCs w:val="32"/>
          <w:lang w:eastAsia="zh-CN"/>
        </w:rPr>
        <w:t>受疫情影响，</w:t>
      </w:r>
      <w:r>
        <w:rPr>
          <w:rFonts w:hint="eastAsia" w:ascii="宋体" w:hAnsi="宋体" w:eastAsia="宋体"/>
          <w:sz w:val="32"/>
          <w:szCs w:val="32"/>
          <w:lang w:val="en-US" w:eastAsia="zh-CN"/>
        </w:rPr>
        <w:t>2021年</w:t>
      </w:r>
      <w:r>
        <w:rPr>
          <w:rFonts w:hint="eastAsia" w:ascii="宋体" w:hAnsi="宋体" w:eastAsia="宋体"/>
          <w:sz w:val="32"/>
          <w:szCs w:val="32"/>
          <w:lang w:eastAsia="zh-CN"/>
        </w:rPr>
        <w:t>无公务接待支出。</w:t>
      </w:r>
    </w:p>
    <w:p>
      <w:pPr>
        <w:pStyle w:val="13"/>
        <w:ind w:firstLine="640" w:firstLineChars="200"/>
        <w:rPr>
          <w:rFonts w:ascii="宋体" w:hAnsi="宋体" w:eastAsia="宋体"/>
          <w:sz w:val="32"/>
          <w:szCs w:val="32"/>
        </w:rPr>
      </w:pPr>
      <w:r>
        <w:rPr>
          <w:rFonts w:hint="eastAsia" w:ascii="宋体" w:hAnsi="宋体" w:eastAsia="宋体"/>
          <w:sz w:val="32"/>
          <w:szCs w:val="32"/>
        </w:rPr>
        <w:t>公务用车购置费及运行</w:t>
      </w:r>
      <w:r>
        <w:rPr>
          <w:rFonts w:hint="eastAsia" w:ascii="宋体" w:hAnsi="宋体" w:eastAsia="宋体"/>
          <w:sz w:val="32"/>
          <w:szCs w:val="32"/>
          <w:highlight w:val="none"/>
        </w:rPr>
        <w:t>维护费支出预算为</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万元，由于预算数为0，无法计算百分比</w:t>
      </w:r>
      <w:r>
        <w:rPr>
          <w:rFonts w:hint="eastAsia" w:ascii="宋体" w:hAnsi="宋体" w:eastAsia="宋体"/>
          <w:sz w:val="32"/>
          <w:szCs w:val="32"/>
          <w:highlight w:val="none"/>
          <w:lang w:eastAsia="zh-CN"/>
        </w:rPr>
        <w:t>。</w:t>
      </w:r>
      <w:r>
        <w:rPr>
          <w:rFonts w:hint="eastAsia" w:ascii="宋体" w:hAnsi="宋体" w:eastAsia="宋体"/>
          <w:sz w:val="32"/>
          <w:szCs w:val="32"/>
          <w:highlight w:val="none"/>
        </w:rPr>
        <w:t>决算数</w:t>
      </w:r>
      <w:r>
        <w:rPr>
          <w:rFonts w:hint="eastAsia" w:ascii="宋体" w:hAnsi="宋体" w:eastAsia="宋体"/>
          <w:sz w:val="32"/>
          <w:szCs w:val="32"/>
          <w:highlight w:val="none"/>
          <w:lang w:val="en-US" w:eastAsia="zh-CN"/>
        </w:rPr>
        <w:t>等于</w:t>
      </w:r>
      <w:r>
        <w:rPr>
          <w:rFonts w:hint="eastAsia" w:ascii="宋体" w:hAnsi="宋体" w:eastAsia="宋体"/>
          <w:sz w:val="32"/>
          <w:szCs w:val="32"/>
          <w:highlight w:val="none"/>
        </w:rPr>
        <w:t>预算数的主要原因是</w:t>
      </w:r>
      <w:r>
        <w:rPr>
          <w:rFonts w:hint="eastAsia" w:ascii="宋体" w:hAnsi="宋体" w:eastAsia="宋体"/>
          <w:sz w:val="32"/>
          <w:szCs w:val="32"/>
          <w:highlight w:val="none"/>
          <w:lang w:eastAsia="zh-CN"/>
        </w:rPr>
        <w:t>我单位无公务用车需求，无预算无支出</w:t>
      </w:r>
      <w:r>
        <w:rPr>
          <w:rFonts w:hint="eastAsia" w:ascii="宋体" w:hAnsi="宋体" w:eastAsia="宋体"/>
          <w:sz w:val="32"/>
          <w:szCs w:val="32"/>
          <w:highlight w:val="none"/>
        </w:rPr>
        <w:t>，与上年相比</w:t>
      </w:r>
      <w:r>
        <w:rPr>
          <w:rFonts w:hint="eastAsia" w:ascii="宋体" w:hAnsi="宋体" w:eastAsia="宋体"/>
          <w:sz w:val="32"/>
          <w:szCs w:val="32"/>
          <w:highlight w:val="none"/>
          <w:lang w:eastAsia="zh-CN"/>
        </w:rPr>
        <w:t>无变动，</w:t>
      </w:r>
      <w:r>
        <w:rPr>
          <w:rFonts w:hint="eastAsia" w:ascii="宋体" w:hAnsi="宋体" w:eastAsia="宋体"/>
          <w:sz w:val="32"/>
          <w:szCs w:val="32"/>
          <w:highlight w:val="none"/>
          <w:lang w:val="en-US" w:eastAsia="zh-CN"/>
        </w:rPr>
        <w:t>原因是2021年未发生该项费用支出</w:t>
      </w:r>
      <w:r>
        <w:rPr>
          <w:rFonts w:hint="eastAsia" w:ascii="宋体" w:hAnsi="宋体" w:eastAsia="宋体"/>
          <w:sz w:val="32"/>
          <w:szCs w:val="32"/>
          <w:highlight w:val="none"/>
        </w:rPr>
        <w:t>。</w:t>
      </w:r>
    </w:p>
    <w:p>
      <w:pPr>
        <w:pStyle w:val="13"/>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13"/>
        <w:ind w:firstLine="640" w:firstLineChars="200"/>
        <w:rPr>
          <w:rFonts w:hint="eastAsia" w:ascii="宋体" w:hAnsi="宋体" w:eastAsia="宋体" w:cs="宋体"/>
          <w:color w:val="FF0000"/>
          <w:sz w:val="32"/>
          <w:szCs w:val="32"/>
        </w:rPr>
      </w:pPr>
      <w:r>
        <w:rPr>
          <w:rFonts w:hint="eastAsia" w:ascii="宋体" w:hAnsi="宋体" w:eastAsia="宋体" w:cs="宋体"/>
          <w:sz w:val="32"/>
          <w:szCs w:val="32"/>
        </w:rPr>
        <w:t xml:space="preserve"> </w:t>
      </w:r>
      <w:r>
        <w:rPr>
          <w:rFonts w:hint="eastAsia" w:ascii="宋体" w:hAnsi="宋体" w:eastAsia="宋体"/>
          <w:sz w:val="32"/>
          <w:szCs w:val="32"/>
        </w:rPr>
        <w:t>2021年度“三公”经费财政拨款支出决算中，</w:t>
      </w:r>
      <w:r>
        <w:rPr>
          <w:rFonts w:hint="eastAsia" w:ascii="宋体" w:hAnsi="宋体" w:eastAsia="宋体"/>
          <w:sz w:val="32"/>
          <w:szCs w:val="32"/>
        </w:rPr>
        <w:t>因公出国（境）费支出决算</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rPr>
        <w:t>公务接待费支出决算</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rPr>
        <w:t>公务用车购置费及运行维护费支出决算</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rPr>
        <w:t>。其中：</w:t>
      </w:r>
    </w:p>
    <w:p>
      <w:pPr>
        <w:pStyle w:val="13"/>
        <w:ind w:firstLine="800" w:firstLineChars="250"/>
        <w:rPr>
          <w:rFonts w:hint="eastAsia" w:ascii="宋体" w:hAnsi="宋体" w:eastAsia="宋体" w:cs="宋体"/>
          <w:sz w:val="32"/>
          <w:szCs w:val="32"/>
        </w:rPr>
      </w:pPr>
      <w:r>
        <w:rPr>
          <w:rFonts w:hint="eastAsia" w:ascii="宋体" w:hAnsi="宋体" w:eastAsia="宋体"/>
          <w:sz w:val="32"/>
          <w:szCs w:val="32"/>
        </w:rPr>
        <w:t>1、因公出国（境）费支出决算为</w:t>
      </w:r>
      <w:r>
        <w:rPr>
          <w:rFonts w:hint="eastAsia" w:ascii="宋体" w:hAnsi="宋体" w:eastAsia="宋体"/>
          <w:sz w:val="32"/>
          <w:szCs w:val="32"/>
          <w:lang w:val="en-US" w:eastAsia="zh-CN"/>
        </w:rPr>
        <w:t>0</w:t>
      </w:r>
      <w:r>
        <w:rPr>
          <w:rFonts w:hint="eastAsia" w:ascii="宋体" w:hAnsi="宋体" w:eastAsia="宋体"/>
          <w:sz w:val="32"/>
          <w:szCs w:val="32"/>
        </w:rPr>
        <w:t>万元，全年安排因公出国（境）团组</w:t>
      </w:r>
      <w:r>
        <w:rPr>
          <w:rFonts w:hint="eastAsia" w:ascii="宋体" w:hAnsi="宋体" w:eastAsia="宋体"/>
          <w:sz w:val="32"/>
          <w:szCs w:val="32"/>
          <w:lang w:val="en-US" w:eastAsia="zh-CN"/>
        </w:rPr>
        <w:t>0</w:t>
      </w:r>
      <w:r>
        <w:rPr>
          <w:rFonts w:hint="eastAsia" w:ascii="宋体" w:hAnsi="宋体" w:eastAsia="宋体"/>
          <w:sz w:val="32"/>
          <w:szCs w:val="32"/>
        </w:rPr>
        <w:t>个，累计</w:t>
      </w:r>
      <w:r>
        <w:rPr>
          <w:rFonts w:hint="eastAsia" w:ascii="宋体" w:hAnsi="宋体" w:eastAsia="宋体"/>
          <w:sz w:val="32"/>
          <w:szCs w:val="32"/>
          <w:lang w:val="en-US" w:eastAsia="zh-CN"/>
        </w:rPr>
        <w:t>0</w:t>
      </w:r>
      <w:r>
        <w:rPr>
          <w:rFonts w:hint="eastAsia" w:ascii="宋体" w:hAnsi="宋体" w:eastAsia="宋体"/>
          <w:sz w:val="32"/>
          <w:szCs w:val="32"/>
        </w:rPr>
        <w:t>人次</w:t>
      </w:r>
      <w:r>
        <w:rPr>
          <w:rFonts w:hint="eastAsia" w:ascii="宋体" w:hAnsi="宋体" w:eastAsia="宋体"/>
          <w:sz w:val="32"/>
          <w:szCs w:val="32"/>
          <w:lang w:eastAsia="zh-CN"/>
        </w:rPr>
        <w:t>。</w:t>
      </w:r>
    </w:p>
    <w:p>
      <w:pPr>
        <w:pStyle w:val="13"/>
        <w:ind w:firstLine="800" w:firstLineChars="2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w:t>
      </w:r>
      <w:r>
        <w:rPr>
          <w:rFonts w:hint="eastAsia" w:ascii="宋体" w:hAnsi="宋体" w:eastAsia="宋体" w:cs="宋体"/>
          <w:sz w:val="32"/>
          <w:szCs w:val="32"/>
        </w:rPr>
        <w:t>公务接待费支出决算为0万元，</w:t>
      </w:r>
      <w:r>
        <w:rPr>
          <w:rFonts w:hint="eastAsia" w:ascii="宋体" w:hAnsi="宋体" w:eastAsia="宋体"/>
          <w:sz w:val="32"/>
          <w:szCs w:val="32"/>
        </w:rPr>
        <w:t>全年共接待来访团组</w:t>
      </w:r>
      <w:r>
        <w:rPr>
          <w:rFonts w:hint="eastAsia" w:ascii="宋体" w:hAnsi="宋体" w:eastAsia="宋体"/>
          <w:sz w:val="32"/>
          <w:szCs w:val="32"/>
          <w:lang w:val="en-US" w:eastAsia="zh-CN"/>
        </w:rPr>
        <w:t>0</w:t>
      </w:r>
      <w:r>
        <w:rPr>
          <w:rFonts w:hint="eastAsia" w:ascii="宋体" w:hAnsi="宋体" w:eastAsia="宋体"/>
          <w:sz w:val="32"/>
          <w:szCs w:val="32"/>
        </w:rPr>
        <w:t>个、来宾</w:t>
      </w:r>
      <w:r>
        <w:rPr>
          <w:rFonts w:hint="eastAsia" w:ascii="宋体" w:hAnsi="宋体" w:eastAsia="宋体"/>
          <w:sz w:val="32"/>
          <w:szCs w:val="32"/>
          <w:lang w:val="en-US" w:eastAsia="zh-CN"/>
        </w:rPr>
        <w:t>0</w:t>
      </w:r>
      <w:r>
        <w:rPr>
          <w:rFonts w:hint="eastAsia" w:ascii="宋体" w:hAnsi="宋体" w:eastAsia="宋体"/>
          <w:sz w:val="32"/>
          <w:szCs w:val="32"/>
        </w:rPr>
        <w:t>人次</w:t>
      </w:r>
      <w:r>
        <w:rPr>
          <w:rFonts w:hint="eastAsia" w:ascii="宋体" w:hAnsi="宋体" w:eastAsia="宋体"/>
          <w:sz w:val="32"/>
          <w:szCs w:val="32"/>
          <w:lang w:eastAsia="zh-CN"/>
        </w:rPr>
        <w:t>。</w:t>
      </w:r>
    </w:p>
    <w:p>
      <w:pPr>
        <w:pStyle w:val="13"/>
        <w:ind w:firstLine="640" w:firstLineChars="200"/>
        <w:rPr>
          <w:rFonts w:hint="eastAsia" w:ascii="宋体" w:hAnsi="宋体" w:eastAsia="宋体"/>
          <w:sz w:val="32"/>
          <w:szCs w:val="32"/>
          <w:lang w:eastAsia="zh-CN"/>
        </w:rPr>
      </w:pPr>
      <w:r>
        <w:rPr>
          <w:rFonts w:hint="eastAsia" w:ascii="宋体" w:hAnsi="宋体" w:eastAsia="宋体" w:cs="宋体"/>
          <w:sz w:val="32"/>
          <w:szCs w:val="32"/>
          <w:lang w:val="en-US" w:eastAsia="zh-CN"/>
        </w:rPr>
        <w:t>3、</w:t>
      </w:r>
      <w:r>
        <w:rPr>
          <w:rFonts w:hint="eastAsia" w:ascii="宋体" w:hAnsi="宋体" w:eastAsia="宋体" w:cs="宋体"/>
          <w:sz w:val="32"/>
          <w:szCs w:val="32"/>
        </w:rPr>
        <w:t>公务用车购置费及运行维护费支出决算为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万元，其中：公务用车购置费</w:t>
      </w:r>
      <w:r>
        <w:rPr>
          <w:rFonts w:hint="eastAsia" w:ascii="宋体" w:hAnsi="宋体" w:eastAsia="宋体" w:cs="宋体"/>
          <w:sz w:val="32"/>
          <w:szCs w:val="32"/>
          <w:lang w:val="en-US" w:eastAsia="zh-CN"/>
        </w:rPr>
        <w:t>0</w:t>
      </w:r>
      <w:r>
        <w:rPr>
          <w:rFonts w:hint="eastAsia" w:ascii="宋体" w:hAnsi="宋体" w:eastAsia="宋体" w:cs="宋体"/>
          <w:sz w:val="32"/>
          <w:szCs w:val="32"/>
        </w:rPr>
        <w:t>万元，单位本级更新公务用车</w:t>
      </w:r>
      <w:r>
        <w:rPr>
          <w:rFonts w:hint="eastAsia" w:ascii="宋体" w:hAnsi="宋体" w:eastAsia="宋体" w:cs="宋体"/>
          <w:sz w:val="32"/>
          <w:szCs w:val="32"/>
          <w:lang w:val="en-US" w:eastAsia="zh-CN"/>
        </w:rPr>
        <w:t>0</w:t>
      </w:r>
      <w:r>
        <w:rPr>
          <w:rFonts w:hint="eastAsia" w:ascii="宋体" w:hAnsi="宋体" w:eastAsia="宋体" w:cs="宋体"/>
          <w:sz w:val="32"/>
          <w:szCs w:val="32"/>
        </w:rPr>
        <w:t>辆。公务用车运行维护费</w:t>
      </w:r>
      <w:r>
        <w:rPr>
          <w:rFonts w:hint="eastAsia" w:ascii="宋体" w:hAnsi="宋体" w:eastAsia="宋体" w:cs="宋体"/>
          <w:sz w:val="32"/>
          <w:szCs w:val="32"/>
          <w:lang w:val="en-US" w:eastAsia="zh-CN"/>
        </w:rPr>
        <w:t>0</w:t>
      </w:r>
      <w:r>
        <w:rPr>
          <w:rFonts w:hint="eastAsia" w:ascii="宋体" w:hAnsi="宋体" w:eastAsia="宋体" w:cs="宋体"/>
          <w:sz w:val="32"/>
          <w:szCs w:val="32"/>
        </w:rPr>
        <w:t>万元，截止202</w:t>
      </w:r>
      <w:r>
        <w:rPr>
          <w:rFonts w:hint="eastAsia" w:ascii="宋体" w:hAnsi="宋体" w:eastAsia="宋体" w:cs="宋体"/>
          <w:sz w:val="32"/>
          <w:szCs w:val="32"/>
          <w:lang w:val="en-US" w:eastAsia="zh-CN"/>
        </w:rPr>
        <w:t>1</w:t>
      </w:r>
      <w:r>
        <w:rPr>
          <w:rFonts w:hint="eastAsia" w:ascii="宋体" w:hAnsi="宋体" w:eastAsia="宋体" w:cs="宋体"/>
          <w:sz w:val="32"/>
          <w:szCs w:val="32"/>
        </w:rPr>
        <w:t>年12月31日，我单位开支财政拨款的公务用车保有量为</w:t>
      </w:r>
      <w:r>
        <w:rPr>
          <w:rFonts w:hint="eastAsia" w:ascii="宋体" w:hAnsi="宋体" w:eastAsia="宋体" w:cs="宋体"/>
          <w:sz w:val="32"/>
          <w:szCs w:val="32"/>
          <w:lang w:val="en-US" w:eastAsia="zh-CN"/>
        </w:rPr>
        <w:t>0</w:t>
      </w:r>
      <w:r>
        <w:rPr>
          <w:rFonts w:hint="eastAsia" w:ascii="宋体" w:hAnsi="宋体" w:eastAsia="宋体" w:cs="宋体"/>
          <w:sz w:val="32"/>
          <w:szCs w:val="32"/>
        </w:rPr>
        <w:t>辆。</w:t>
      </w:r>
    </w:p>
    <w:p>
      <w:pPr>
        <w:pStyle w:val="13"/>
        <w:rPr>
          <w:rFonts w:hAnsi="黑体"/>
          <w:b/>
          <w:sz w:val="32"/>
          <w:szCs w:val="32"/>
        </w:rPr>
      </w:pPr>
      <w:r>
        <w:rPr>
          <w:rFonts w:hint="eastAsia" w:hAnsi="黑体"/>
          <w:b/>
          <w:sz w:val="32"/>
          <w:szCs w:val="32"/>
        </w:rPr>
        <w:t>八、政府性基金预算收入支出决算情况</w:t>
      </w:r>
    </w:p>
    <w:p>
      <w:pPr>
        <w:pStyle w:val="13"/>
        <w:rPr>
          <w:rFonts w:ascii="宋体" w:hAnsi="宋体" w:eastAsia="宋体"/>
          <w:sz w:val="32"/>
          <w:szCs w:val="32"/>
        </w:rPr>
      </w:pPr>
      <w:r>
        <w:rPr>
          <w:rFonts w:hint="eastAsia" w:ascii="宋体" w:hAnsi="宋体" w:eastAsia="宋体"/>
          <w:sz w:val="32"/>
          <w:szCs w:val="32"/>
        </w:rPr>
        <w:t xml:space="preserve">     2021年度政府性基金预算财政拨款收入</w:t>
      </w:r>
      <w:r>
        <w:rPr>
          <w:rFonts w:hint="eastAsia" w:ascii="宋体" w:hAnsi="宋体" w:eastAsia="宋体"/>
          <w:sz w:val="32"/>
          <w:szCs w:val="32"/>
          <w:lang w:val="en-US" w:eastAsia="zh-CN"/>
        </w:rPr>
        <w:t>0</w:t>
      </w:r>
      <w:r>
        <w:rPr>
          <w:rFonts w:hint="eastAsia" w:ascii="宋体" w:hAnsi="宋体" w:eastAsia="宋体"/>
          <w:sz w:val="32"/>
          <w:szCs w:val="32"/>
        </w:rPr>
        <w:t>万元；年初结转和结余</w:t>
      </w:r>
      <w:r>
        <w:rPr>
          <w:rFonts w:hint="eastAsia" w:ascii="宋体" w:hAnsi="宋体" w:eastAsia="宋体"/>
          <w:sz w:val="32"/>
          <w:szCs w:val="32"/>
          <w:lang w:val="en-US" w:eastAsia="zh-CN"/>
        </w:rPr>
        <w:t>0</w:t>
      </w:r>
      <w:r>
        <w:rPr>
          <w:rFonts w:hint="eastAsia" w:ascii="宋体" w:hAnsi="宋体" w:eastAsia="宋体"/>
          <w:sz w:val="32"/>
          <w:szCs w:val="32"/>
        </w:rPr>
        <w:t>万元；支出</w:t>
      </w:r>
      <w:r>
        <w:rPr>
          <w:rFonts w:hint="eastAsia" w:ascii="宋体" w:hAnsi="宋体" w:eastAsia="宋体"/>
          <w:sz w:val="32"/>
          <w:szCs w:val="32"/>
          <w:lang w:val="en-US" w:eastAsia="zh-CN"/>
        </w:rPr>
        <w:t>5</w:t>
      </w:r>
      <w:r>
        <w:rPr>
          <w:rFonts w:hint="eastAsia" w:ascii="宋体" w:hAnsi="宋体" w:eastAsia="宋体"/>
          <w:sz w:val="32"/>
          <w:szCs w:val="32"/>
        </w:rPr>
        <w:t>万元，其中基本支出</w:t>
      </w:r>
      <w:r>
        <w:rPr>
          <w:rFonts w:hint="eastAsia" w:ascii="宋体" w:hAnsi="宋体" w:eastAsia="宋体"/>
          <w:sz w:val="32"/>
          <w:szCs w:val="32"/>
          <w:lang w:val="en-US" w:eastAsia="zh-CN"/>
        </w:rPr>
        <w:t>0</w:t>
      </w:r>
      <w:r>
        <w:rPr>
          <w:rFonts w:hint="eastAsia" w:ascii="宋体" w:hAnsi="宋体" w:eastAsia="宋体"/>
          <w:sz w:val="32"/>
          <w:szCs w:val="32"/>
        </w:rPr>
        <w:t>万元，项目支出</w:t>
      </w:r>
      <w:r>
        <w:rPr>
          <w:rFonts w:hint="eastAsia" w:ascii="宋体" w:hAnsi="宋体" w:eastAsia="宋体"/>
          <w:sz w:val="32"/>
          <w:szCs w:val="32"/>
          <w:lang w:val="en-US" w:eastAsia="zh-CN"/>
        </w:rPr>
        <w:t>5</w:t>
      </w:r>
      <w:r>
        <w:rPr>
          <w:rFonts w:hint="eastAsia" w:ascii="宋体" w:hAnsi="宋体" w:eastAsia="宋体"/>
          <w:sz w:val="32"/>
          <w:szCs w:val="32"/>
        </w:rPr>
        <w:t>万元；年末结转和结余</w:t>
      </w:r>
      <w:r>
        <w:rPr>
          <w:rFonts w:hint="eastAsia" w:ascii="宋体" w:hAnsi="宋体" w:eastAsia="宋体"/>
          <w:sz w:val="32"/>
          <w:szCs w:val="32"/>
          <w:lang w:val="en-US" w:eastAsia="zh-CN"/>
        </w:rPr>
        <w:t>0</w:t>
      </w:r>
      <w:r>
        <w:rPr>
          <w:rFonts w:hint="eastAsia" w:ascii="宋体" w:hAnsi="宋体" w:eastAsia="宋体"/>
          <w:sz w:val="32"/>
          <w:szCs w:val="32"/>
        </w:rPr>
        <w:t>万元。具体情况如下：其他支出（类）彩票公益金安排的支出（款）用于体育事业的彩票公益金支出（项）。年初预算为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5</w:t>
      </w:r>
      <w:r>
        <w:rPr>
          <w:rFonts w:hint="eastAsia" w:ascii="宋体" w:hAnsi="宋体" w:eastAsia="宋体"/>
          <w:sz w:val="32"/>
          <w:szCs w:val="32"/>
        </w:rPr>
        <w:t>万元，完成年初预算的</w:t>
      </w:r>
      <w:r>
        <w:rPr>
          <w:rFonts w:hint="eastAsia" w:ascii="宋体" w:hAnsi="宋体" w:eastAsia="宋体"/>
          <w:sz w:val="32"/>
          <w:szCs w:val="32"/>
          <w:lang w:val="en-US" w:eastAsia="zh-CN"/>
        </w:rPr>
        <w:t>0</w:t>
      </w:r>
      <w:r>
        <w:rPr>
          <w:rFonts w:hint="eastAsia" w:ascii="宋体" w:hAnsi="宋体" w:eastAsia="宋体"/>
          <w:sz w:val="32"/>
          <w:szCs w:val="32"/>
        </w:rPr>
        <w:t>%，决算数大于年初预算数的主要原因是</w:t>
      </w:r>
      <w:r>
        <w:rPr>
          <w:rFonts w:hint="eastAsia" w:ascii="宋体" w:hAnsi="宋体" w:eastAsia="宋体"/>
          <w:sz w:val="32"/>
          <w:szCs w:val="32"/>
          <w:lang w:eastAsia="zh-CN"/>
        </w:rPr>
        <w:t>转拨上级单位给网球培训机构补助。</w:t>
      </w:r>
    </w:p>
    <w:p>
      <w:pPr>
        <w:pStyle w:val="13"/>
        <w:rPr>
          <w:rFonts w:hAnsi="黑体"/>
          <w:b/>
          <w:sz w:val="32"/>
          <w:szCs w:val="32"/>
        </w:rPr>
      </w:pPr>
      <w:r>
        <w:rPr>
          <w:rFonts w:hint="eastAsia" w:hAnsi="黑体"/>
          <w:b/>
          <w:sz w:val="32"/>
          <w:szCs w:val="32"/>
        </w:rPr>
        <w:t>九、机关运行经费支出说明</w:t>
      </w:r>
    </w:p>
    <w:p>
      <w:pPr>
        <w:pStyle w:val="13"/>
        <w:ind w:firstLine="640" w:firstLineChars="200"/>
        <w:rPr>
          <w:rFonts w:hint="eastAsia" w:ascii="宋体" w:hAnsi="宋体" w:eastAsia="宋体"/>
          <w:sz w:val="32"/>
          <w:szCs w:val="32"/>
          <w:lang w:eastAsia="zh-CN"/>
        </w:rPr>
      </w:pPr>
      <w:r>
        <w:rPr>
          <w:rFonts w:hint="eastAsia" w:ascii="宋体" w:hAnsi="宋体" w:eastAsia="宋体"/>
          <w:sz w:val="32"/>
          <w:szCs w:val="32"/>
        </w:rPr>
        <w:t>本部门2021年度机关运行经费支出30.59万元</w:t>
      </w:r>
      <w:r>
        <w:rPr>
          <w:rFonts w:hint="eastAsia" w:ascii="宋体" w:hAnsi="宋体" w:eastAsia="宋体"/>
          <w:sz w:val="32"/>
          <w:szCs w:val="32"/>
          <w:lang w:eastAsia="zh-CN"/>
        </w:rPr>
        <w:t>，</w:t>
      </w:r>
      <w:r>
        <w:rPr>
          <w:rFonts w:hint="eastAsia" w:ascii="宋体" w:hAnsi="宋体" w:eastAsia="宋体"/>
          <w:sz w:val="32"/>
          <w:szCs w:val="32"/>
        </w:rPr>
        <w:t>比上年决算数减少</w:t>
      </w:r>
      <w:r>
        <w:rPr>
          <w:rFonts w:hint="eastAsia" w:ascii="宋体" w:hAnsi="宋体" w:eastAsia="宋体"/>
          <w:sz w:val="32"/>
          <w:szCs w:val="32"/>
          <w:lang w:val="en-US" w:eastAsia="zh-CN"/>
        </w:rPr>
        <w:t>80.55</w:t>
      </w:r>
      <w:r>
        <w:rPr>
          <w:rFonts w:hint="eastAsia" w:ascii="宋体" w:hAnsi="宋体" w:eastAsia="宋体"/>
          <w:sz w:val="32"/>
          <w:szCs w:val="32"/>
        </w:rPr>
        <w:t>万元，降低</w:t>
      </w:r>
      <w:r>
        <w:rPr>
          <w:rFonts w:hint="eastAsia" w:ascii="宋体" w:hAnsi="宋体" w:eastAsia="宋体"/>
          <w:sz w:val="32"/>
          <w:szCs w:val="32"/>
          <w:lang w:val="en-US" w:eastAsia="zh-CN"/>
        </w:rPr>
        <w:t>72.48</w:t>
      </w:r>
      <w:r>
        <w:rPr>
          <w:rFonts w:hint="eastAsia" w:ascii="宋体" w:hAnsi="宋体" w:eastAsia="宋体"/>
          <w:sz w:val="32"/>
          <w:szCs w:val="32"/>
        </w:rPr>
        <w:t>%。主要原因是</w:t>
      </w:r>
      <w:r>
        <w:rPr>
          <w:rFonts w:hint="eastAsia" w:ascii="宋体" w:hAnsi="宋体" w:eastAsia="宋体"/>
          <w:sz w:val="32"/>
          <w:szCs w:val="32"/>
          <w:lang w:eastAsia="zh-CN"/>
        </w:rPr>
        <w:t>奥管中心大部分场馆运营外包给博一公司，作为专项业务支出，机关运行经费减少。另外临聘人员外包，费用不在机关运行经费中支出。</w:t>
      </w:r>
    </w:p>
    <w:p>
      <w:pPr>
        <w:pStyle w:val="13"/>
        <w:rPr>
          <w:rFonts w:hAnsi="黑体"/>
          <w:b/>
          <w:sz w:val="32"/>
          <w:szCs w:val="32"/>
        </w:rPr>
      </w:pPr>
      <w:r>
        <w:rPr>
          <w:rFonts w:hint="eastAsia" w:hAnsi="黑体"/>
          <w:b/>
          <w:sz w:val="32"/>
          <w:szCs w:val="32"/>
        </w:rPr>
        <w:t>十、一般性支出情况说明</w:t>
      </w:r>
    </w:p>
    <w:p>
      <w:pPr>
        <w:pStyle w:val="13"/>
        <w:ind w:firstLine="640" w:firstLineChars="200"/>
        <w:rPr>
          <w:rFonts w:hint="eastAsia" w:ascii="宋体" w:hAnsi="宋体" w:eastAsia="宋体"/>
          <w:sz w:val="32"/>
          <w:szCs w:val="32"/>
          <w:lang w:eastAsia="zh-CN"/>
        </w:rPr>
      </w:pPr>
      <w:r>
        <w:rPr>
          <w:rFonts w:hint="eastAsia" w:ascii="宋体" w:hAnsi="宋体" w:eastAsia="宋体"/>
          <w:sz w:val="32"/>
          <w:szCs w:val="32"/>
        </w:rPr>
        <w:t>2021年本部门开支会议费</w:t>
      </w:r>
      <w:r>
        <w:rPr>
          <w:rFonts w:hint="eastAsia" w:ascii="宋体" w:hAnsi="宋体" w:eastAsia="宋体"/>
          <w:sz w:val="32"/>
          <w:szCs w:val="32"/>
          <w:lang w:val="en-US" w:eastAsia="zh-CN"/>
        </w:rPr>
        <w:t>0</w:t>
      </w:r>
      <w:r>
        <w:rPr>
          <w:rFonts w:hint="eastAsia" w:ascii="宋体" w:hAnsi="宋体" w:eastAsia="宋体"/>
          <w:sz w:val="32"/>
          <w:szCs w:val="32"/>
        </w:rPr>
        <w:t>万元；开支培训费</w:t>
      </w:r>
      <w:r>
        <w:rPr>
          <w:rFonts w:hint="eastAsia" w:ascii="宋体" w:hAnsi="宋体" w:eastAsia="宋体"/>
          <w:sz w:val="32"/>
          <w:szCs w:val="32"/>
          <w:lang w:val="en-US" w:eastAsia="zh-CN"/>
        </w:rPr>
        <w:t>0.14</w:t>
      </w:r>
      <w:r>
        <w:rPr>
          <w:rFonts w:hint="eastAsia" w:ascii="宋体" w:hAnsi="宋体" w:eastAsia="宋体"/>
          <w:sz w:val="32"/>
          <w:szCs w:val="32"/>
        </w:rPr>
        <w:t>万</w:t>
      </w:r>
      <w:r>
        <w:rPr>
          <w:rFonts w:hint="eastAsia" w:ascii="宋体" w:hAnsi="宋体" w:eastAsia="宋体"/>
          <w:sz w:val="32"/>
          <w:szCs w:val="32"/>
        </w:rPr>
        <w:t>元，</w:t>
      </w:r>
      <w:r>
        <w:rPr>
          <w:rFonts w:hint="eastAsia" w:ascii="宋体" w:hAnsi="宋体" w:eastAsia="宋体"/>
          <w:sz w:val="32"/>
          <w:szCs w:val="32"/>
          <w:lang w:val="en-US" w:eastAsia="zh-CN"/>
        </w:rPr>
        <w:t>人数15人，</w:t>
      </w:r>
      <w:r>
        <w:rPr>
          <w:rFonts w:hint="eastAsia" w:ascii="宋体" w:hAnsi="宋体" w:eastAsia="宋体"/>
          <w:sz w:val="32"/>
          <w:szCs w:val="32"/>
        </w:rPr>
        <w:t>用于开展</w:t>
      </w:r>
      <w:r>
        <w:rPr>
          <w:rFonts w:hint="eastAsia" w:ascii="宋体" w:hAnsi="宋体" w:eastAsia="宋体"/>
          <w:sz w:val="32"/>
          <w:szCs w:val="32"/>
          <w:lang w:eastAsia="zh-CN"/>
        </w:rPr>
        <w:t>在岗人员培训</w:t>
      </w:r>
      <w:r>
        <w:rPr>
          <w:rFonts w:hint="eastAsia" w:ascii="宋体" w:hAnsi="宋体" w:eastAsia="宋体"/>
          <w:sz w:val="32"/>
          <w:szCs w:val="32"/>
        </w:rPr>
        <w:t>培训</w:t>
      </w:r>
      <w:r>
        <w:rPr>
          <w:rFonts w:hint="eastAsia" w:ascii="宋体" w:hAnsi="宋体" w:eastAsia="宋体"/>
          <w:sz w:val="32"/>
          <w:szCs w:val="32"/>
          <w:lang w:eastAsia="zh-CN"/>
        </w:rPr>
        <w:t>。</w:t>
      </w:r>
      <w:r>
        <w:rPr>
          <w:rFonts w:hint="eastAsia" w:ascii="宋体" w:hAnsi="宋体" w:eastAsia="宋体"/>
          <w:sz w:val="32"/>
          <w:szCs w:val="32"/>
          <w:lang w:val="en-US" w:eastAsia="zh-CN"/>
        </w:rPr>
        <w:t>未</w:t>
      </w:r>
      <w:r>
        <w:rPr>
          <w:rFonts w:hint="eastAsia" w:ascii="宋体" w:hAnsi="宋体" w:eastAsia="宋体"/>
          <w:sz w:val="32"/>
          <w:szCs w:val="32"/>
        </w:rPr>
        <w:t>举办节庆、晚会、论坛、赛事活动</w:t>
      </w:r>
      <w:r>
        <w:rPr>
          <w:rFonts w:hint="eastAsia" w:ascii="宋体" w:hAnsi="宋体" w:eastAsia="宋体"/>
          <w:sz w:val="32"/>
          <w:szCs w:val="32"/>
          <w:lang w:eastAsia="zh-CN"/>
        </w:rPr>
        <w:t>。</w:t>
      </w:r>
    </w:p>
    <w:p>
      <w:pPr>
        <w:pStyle w:val="13"/>
        <w:rPr>
          <w:rFonts w:hAnsi="黑体"/>
          <w:b/>
          <w:sz w:val="32"/>
          <w:szCs w:val="32"/>
        </w:rPr>
      </w:pPr>
      <w:r>
        <w:rPr>
          <w:rFonts w:hint="eastAsia" w:hAnsi="黑体"/>
          <w:b/>
          <w:sz w:val="32"/>
          <w:szCs w:val="32"/>
        </w:rPr>
        <w:t>十一、政府采购支出说明</w:t>
      </w:r>
    </w:p>
    <w:p>
      <w:pPr>
        <w:pStyle w:val="13"/>
        <w:ind w:firstLine="640" w:firstLineChars="200"/>
        <w:rPr>
          <w:rFonts w:hint="eastAsia" w:ascii="宋体" w:hAnsi="宋体" w:eastAsia="宋体"/>
          <w:sz w:val="32"/>
          <w:szCs w:val="32"/>
          <w:lang w:eastAsia="zh-CN"/>
        </w:rPr>
      </w:pPr>
      <w:r>
        <w:rPr>
          <w:rFonts w:hint="eastAsia" w:ascii="宋体" w:hAnsi="宋体" w:eastAsia="宋体"/>
          <w:sz w:val="32"/>
          <w:szCs w:val="32"/>
        </w:rPr>
        <w:t>本部门2021年度政府采购支出总额</w:t>
      </w:r>
      <w:r>
        <w:rPr>
          <w:rFonts w:hint="eastAsia" w:ascii="宋体" w:hAnsi="宋体" w:eastAsia="宋体"/>
          <w:sz w:val="32"/>
          <w:szCs w:val="32"/>
          <w:lang w:val="en-US" w:eastAsia="zh-CN"/>
        </w:rPr>
        <w:t>0</w:t>
      </w:r>
      <w:r>
        <w:rPr>
          <w:rFonts w:hint="eastAsia" w:ascii="宋体" w:hAnsi="宋体" w:eastAsia="宋体"/>
          <w:sz w:val="32"/>
          <w:szCs w:val="32"/>
        </w:rPr>
        <w:t>万元，其中：政府采购货物支出</w:t>
      </w:r>
      <w:r>
        <w:rPr>
          <w:rFonts w:hint="eastAsia" w:ascii="宋体" w:hAnsi="宋体" w:eastAsia="宋体"/>
          <w:sz w:val="32"/>
          <w:szCs w:val="32"/>
          <w:lang w:val="en-US" w:eastAsia="zh-CN"/>
        </w:rPr>
        <w:t>0</w:t>
      </w:r>
      <w:r>
        <w:rPr>
          <w:rFonts w:hint="eastAsia" w:ascii="宋体" w:hAnsi="宋体" w:eastAsia="宋体"/>
          <w:sz w:val="32"/>
          <w:szCs w:val="32"/>
        </w:rPr>
        <w:t>万元、政府采购工程支出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highlight w:val="none"/>
        </w:rPr>
        <w:t>授予中小企业合同金额</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万元，其中：授予小微企业合同金额</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w:t>
      </w:r>
      <w:r>
        <w:rPr>
          <w:rFonts w:hint="eastAsia" w:ascii="宋体" w:hAnsi="宋体" w:eastAsia="宋体"/>
          <w:sz w:val="32"/>
          <w:szCs w:val="32"/>
          <w:highlight w:val="none"/>
          <w:lang w:eastAsia="zh-CN"/>
        </w:rPr>
        <w:t>。</w:t>
      </w:r>
    </w:p>
    <w:p>
      <w:pPr>
        <w:pStyle w:val="13"/>
        <w:rPr>
          <w:rFonts w:hAnsi="黑体"/>
          <w:b/>
          <w:sz w:val="32"/>
          <w:szCs w:val="32"/>
        </w:rPr>
      </w:pPr>
      <w:r>
        <w:rPr>
          <w:rFonts w:hint="eastAsia" w:hAnsi="黑体"/>
          <w:b/>
          <w:sz w:val="32"/>
          <w:szCs w:val="32"/>
        </w:rPr>
        <w:t>十二、国有资产占用情况说明</w:t>
      </w:r>
    </w:p>
    <w:p>
      <w:pPr>
        <w:pStyle w:val="13"/>
        <w:ind w:firstLine="640" w:firstLineChars="200"/>
        <w:rPr>
          <w:rFonts w:ascii="宋体" w:hAnsi="宋体" w:eastAsia="宋体"/>
          <w:sz w:val="32"/>
          <w:szCs w:val="32"/>
        </w:rPr>
      </w:pPr>
      <w:r>
        <w:rPr>
          <w:rFonts w:hint="eastAsia" w:ascii="宋体" w:hAnsi="宋体" w:eastAsia="宋体"/>
          <w:sz w:val="32"/>
          <w:szCs w:val="32"/>
        </w:rPr>
        <w:t>截至2021年12月31日，部门（单位）共有车辆</w:t>
      </w:r>
      <w:r>
        <w:rPr>
          <w:rFonts w:hint="eastAsia" w:ascii="宋体" w:hAnsi="宋体" w:eastAsia="宋体"/>
          <w:sz w:val="32"/>
          <w:szCs w:val="32"/>
          <w:lang w:val="en-US" w:eastAsia="zh-CN"/>
        </w:rPr>
        <w:t>0</w:t>
      </w:r>
      <w:r>
        <w:rPr>
          <w:rFonts w:hint="eastAsia" w:ascii="宋体" w:hAnsi="宋体" w:eastAsia="宋体"/>
          <w:sz w:val="32"/>
          <w:szCs w:val="32"/>
        </w:rPr>
        <w:t>辆，其中，主要领导干部用车</w:t>
      </w:r>
      <w:r>
        <w:rPr>
          <w:rFonts w:hint="eastAsia" w:ascii="宋体" w:hAnsi="宋体" w:eastAsia="宋体"/>
          <w:sz w:val="32"/>
          <w:szCs w:val="32"/>
          <w:lang w:val="en-US" w:eastAsia="zh-CN"/>
        </w:rPr>
        <w:t>0</w:t>
      </w:r>
      <w:r>
        <w:rPr>
          <w:rFonts w:hint="eastAsia" w:ascii="宋体" w:hAnsi="宋体" w:eastAsia="宋体"/>
          <w:sz w:val="32"/>
          <w:szCs w:val="32"/>
        </w:rPr>
        <w:t>辆，机要通信用车</w:t>
      </w:r>
      <w:r>
        <w:rPr>
          <w:rFonts w:hint="eastAsia" w:ascii="宋体" w:hAnsi="宋体" w:eastAsia="宋体"/>
          <w:sz w:val="32"/>
          <w:szCs w:val="32"/>
          <w:lang w:val="en-US" w:eastAsia="zh-CN"/>
        </w:rPr>
        <w:t>0</w:t>
      </w:r>
      <w:r>
        <w:rPr>
          <w:rFonts w:hint="eastAsia" w:ascii="宋体" w:hAnsi="宋体" w:eastAsia="宋体"/>
          <w:sz w:val="32"/>
          <w:szCs w:val="32"/>
        </w:rPr>
        <w:t>辆、应急保障用车</w:t>
      </w:r>
      <w:r>
        <w:rPr>
          <w:rFonts w:hint="eastAsia" w:ascii="宋体" w:hAnsi="宋体" w:eastAsia="宋体"/>
          <w:sz w:val="32"/>
          <w:szCs w:val="32"/>
          <w:lang w:val="en-US" w:eastAsia="zh-CN"/>
        </w:rPr>
        <w:t>0</w:t>
      </w:r>
      <w:r>
        <w:rPr>
          <w:rFonts w:hint="eastAsia" w:ascii="宋体" w:hAnsi="宋体" w:eastAsia="宋体"/>
          <w:sz w:val="32"/>
          <w:szCs w:val="32"/>
        </w:rPr>
        <w:t>辆、执法执勤用车</w:t>
      </w:r>
      <w:r>
        <w:rPr>
          <w:rFonts w:hint="eastAsia" w:ascii="宋体" w:hAnsi="宋体" w:eastAsia="宋体"/>
          <w:sz w:val="32"/>
          <w:szCs w:val="32"/>
          <w:lang w:val="en-US" w:eastAsia="zh-CN"/>
        </w:rPr>
        <w:t>0</w:t>
      </w:r>
      <w:r>
        <w:rPr>
          <w:rFonts w:hint="eastAsia" w:ascii="宋体" w:hAnsi="宋体" w:eastAsia="宋体"/>
          <w:sz w:val="32"/>
          <w:szCs w:val="32"/>
        </w:rPr>
        <w:t>辆、特种专业技术用车</w:t>
      </w:r>
      <w:r>
        <w:rPr>
          <w:rFonts w:hint="eastAsia" w:ascii="宋体" w:hAnsi="宋体" w:eastAsia="宋体"/>
          <w:sz w:val="32"/>
          <w:szCs w:val="32"/>
          <w:lang w:val="en-US" w:eastAsia="zh-CN"/>
        </w:rPr>
        <w:t>0</w:t>
      </w:r>
      <w:r>
        <w:rPr>
          <w:rFonts w:hint="eastAsia" w:ascii="宋体" w:hAnsi="宋体" w:eastAsia="宋体"/>
          <w:sz w:val="32"/>
          <w:szCs w:val="32"/>
        </w:rPr>
        <w:t>辆、其他用车</w:t>
      </w:r>
      <w:r>
        <w:rPr>
          <w:rFonts w:hint="eastAsia" w:ascii="宋体" w:hAnsi="宋体" w:eastAsia="宋体"/>
          <w:sz w:val="32"/>
          <w:szCs w:val="32"/>
          <w:lang w:val="en-US" w:eastAsia="zh-CN"/>
        </w:rPr>
        <w:t>0</w:t>
      </w:r>
      <w:r>
        <w:rPr>
          <w:rFonts w:hint="eastAsia" w:ascii="宋体" w:hAnsi="宋体" w:eastAsia="宋体"/>
          <w:sz w:val="32"/>
          <w:szCs w:val="32"/>
        </w:rPr>
        <w:t>辆；单位价值50万元以上通用设备</w:t>
      </w:r>
      <w:r>
        <w:rPr>
          <w:rFonts w:hint="eastAsia" w:ascii="宋体" w:hAnsi="宋体" w:eastAsia="宋体"/>
          <w:sz w:val="32"/>
          <w:szCs w:val="32"/>
          <w:lang w:val="en-US" w:eastAsia="zh-CN"/>
        </w:rPr>
        <w:t>1</w:t>
      </w:r>
      <w:r>
        <w:rPr>
          <w:rFonts w:hint="eastAsia" w:ascii="宋体" w:hAnsi="宋体" w:eastAsia="宋体"/>
          <w:sz w:val="32"/>
          <w:szCs w:val="32"/>
        </w:rPr>
        <w:t>台（套）；单位价值100万元以上专用设备</w:t>
      </w:r>
      <w:r>
        <w:rPr>
          <w:rFonts w:hint="eastAsia" w:ascii="宋体" w:hAnsi="宋体" w:eastAsia="宋体"/>
          <w:sz w:val="32"/>
          <w:szCs w:val="32"/>
          <w:lang w:val="en-US" w:eastAsia="zh-CN"/>
        </w:rPr>
        <w:t>1</w:t>
      </w:r>
      <w:r>
        <w:rPr>
          <w:rFonts w:hint="eastAsia" w:ascii="宋体" w:hAnsi="宋体" w:eastAsia="宋体"/>
          <w:sz w:val="32"/>
          <w:szCs w:val="32"/>
        </w:rPr>
        <w:t>台（套）。</w:t>
      </w:r>
    </w:p>
    <w:p>
      <w:pPr>
        <w:pStyle w:val="13"/>
        <w:rPr>
          <w:rFonts w:hAnsi="黑体"/>
          <w:b/>
          <w:sz w:val="32"/>
          <w:szCs w:val="32"/>
        </w:rPr>
      </w:pPr>
      <w:r>
        <w:rPr>
          <w:rFonts w:hint="eastAsia" w:hAnsi="黑体"/>
          <w:b/>
          <w:sz w:val="32"/>
          <w:szCs w:val="32"/>
        </w:rPr>
        <w:t>十三、2021年度预算绩效情况说明</w:t>
      </w:r>
    </w:p>
    <w:p>
      <w:pPr>
        <w:pStyle w:val="14"/>
        <w:numPr>
          <w:ilvl w:val="0"/>
          <w:numId w:val="0"/>
        </w:numPr>
        <w:ind w:leftChars="0"/>
        <w:rPr>
          <w:sz w:val="28"/>
          <w:szCs w:val="28"/>
        </w:rPr>
      </w:pPr>
      <w:r>
        <w:rPr>
          <w:rFonts w:hint="eastAsia"/>
          <w:sz w:val="28"/>
          <w:szCs w:val="28"/>
          <w:lang w:val="en-US" w:eastAsia="zh-CN"/>
        </w:rPr>
        <w:t>（一）</w:t>
      </w:r>
      <w:r>
        <w:rPr>
          <w:rFonts w:hint="eastAsia"/>
          <w:sz w:val="28"/>
          <w:szCs w:val="28"/>
        </w:rPr>
        <w:t>绩效评价目的。</w:t>
      </w:r>
    </w:p>
    <w:p>
      <w:pPr>
        <w:ind w:firstLine="560" w:firstLineChars="200"/>
        <w:rPr>
          <w:sz w:val="28"/>
          <w:szCs w:val="28"/>
        </w:rPr>
      </w:pPr>
      <w:r>
        <w:rPr>
          <w:rFonts w:hint="eastAsia"/>
          <w:sz w:val="28"/>
          <w:szCs w:val="28"/>
        </w:rPr>
        <w:t>为贯彻落实《中共中内国务院关于全面实施预算绩效管理的意见》、《中共湖南省委办公厅关于全面实施预算绩效管理的实施意见》等有关精神，进一步规范财政资金管理，不断增强预算绩效理念，强化部门支出责任，提高财政资金使用效益，做好绩效评价工作。</w:t>
      </w:r>
    </w:p>
    <w:p>
      <w:pPr>
        <w:pStyle w:val="7"/>
        <w:shd w:val="clear" w:color="auto" w:fill="FFFFFF"/>
        <w:spacing w:before="0" w:beforeAutospacing="0" w:after="0" w:afterAutospacing="0" w:line="550" w:lineRule="atLeast"/>
        <w:jc w:val="both"/>
        <w:rPr>
          <w:rFonts w:ascii="Calibri" w:hAnsi="Calibri" w:eastAsia="宋体" w:cs="Times New Roman"/>
          <w:kern w:val="2"/>
          <w:sz w:val="28"/>
          <w:szCs w:val="28"/>
        </w:rPr>
      </w:pPr>
      <w:r>
        <w:rPr>
          <w:rFonts w:hint="eastAsia" w:ascii="Calibri" w:hAnsi="Calibri" w:eastAsia="宋体" w:cs="Times New Roman"/>
          <w:kern w:val="2"/>
          <w:sz w:val="28"/>
          <w:szCs w:val="28"/>
          <w:lang w:val="en-US" w:eastAsia="zh-CN"/>
        </w:rPr>
        <w:t>（二）</w:t>
      </w:r>
      <w:r>
        <w:rPr>
          <w:rFonts w:hint="eastAsia" w:ascii="Calibri" w:hAnsi="Calibri" w:eastAsia="宋体" w:cs="Times New Roman"/>
          <w:kern w:val="2"/>
          <w:sz w:val="28"/>
          <w:szCs w:val="28"/>
        </w:rPr>
        <w:t>绩效评价工作过程</w:t>
      </w:r>
    </w:p>
    <w:p>
      <w:pPr>
        <w:pStyle w:val="7"/>
        <w:shd w:val="clear" w:color="auto" w:fill="FFFFFF"/>
        <w:spacing w:before="0" w:beforeAutospacing="0" w:after="0" w:afterAutospacing="0" w:line="550" w:lineRule="atLeast"/>
        <w:ind w:firstLine="640"/>
        <w:jc w:val="both"/>
        <w:rPr>
          <w:rFonts w:ascii="Calibri" w:hAnsi="Calibri" w:eastAsia="宋体" w:cs="Times New Roman"/>
          <w:kern w:val="2"/>
          <w:sz w:val="28"/>
          <w:szCs w:val="28"/>
        </w:rPr>
      </w:pPr>
      <w:r>
        <w:rPr>
          <w:rFonts w:hint="eastAsia" w:ascii="Calibri" w:hAnsi="Calibri" w:eastAsia="宋体" w:cs="Times New Roman"/>
          <w:kern w:val="2"/>
          <w:sz w:val="28"/>
          <w:szCs w:val="28"/>
        </w:rPr>
        <w:t>（1）前期准备。按照绩效自评工作要求，成立以中心主任为组长的绩效评价工作小组，对相关的国家法律法规进行了认真学习，掌握政策，根据部门整体收支情况制定了部门整体支出绩效评价实施方案。</w:t>
      </w:r>
    </w:p>
    <w:p>
      <w:pPr>
        <w:pStyle w:val="7"/>
        <w:shd w:val="clear" w:color="auto" w:fill="FFFFFF"/>
        <w:spacing w:before="0" w:beforeAutospacing="0" w:after="0" w:afterAutospacing="0" w:line="550" w:lineRule="atLeast"/>
        <w:ind w:firstLine="640"/>
        <w:jc w:val="both"/>
        <w:rPr>
          <w:rFonts w:ascii="Calibri" w:hAnsi="Calibri" w:eastAsia="宋体" w:cs="Times New Roman"/>
          <w:kern w:val="2"/>
          <w:sz w:val="28"/>
          <w:szCs w:val="28"/>
        </w:rPr>
      </w:pPr>
      <w:r>
        <w:rPr>
          <w:rFonts w:hint="eastAsia" w:ascii="Calibri" w:hAnsi="Calibri" w:eastAsia="宋体" w:cs="Times New Roman"/>
          <w:kern w:val="2"/>
          <w:sz w:val="28"/>
          <w:szCs w:val="28"/>
        </w:rPr>
        <w:t>（2）组织实施。采用核查法核查2021年同级财政预算批复执行及部门整体支出情况，着重核查了“三公”经费及资产管理、内部控制制度等情况。</w:t>
      </w:r>
    </w:p>
    <w:p>
      <w:pPr>
        <w:ind w:firstLine="560" w:firstLineChars="200"/>
        <w:rPr>
          <w:sz w:val="28"/>
          <w:szCs w:val="28"/>
        </w:rPr>
      </w:pPr>
      <w:r>
        <w:rPr>
          <w:rFonts w:hint="eastAsia"/>
          <w:sz w:val="28"/>
          <w:szCs w:val="28"/>
        </w:rPr>
        <w:t>（3）分析评价。对评价过程中收集资料进行归纳，汇总分析，依据设定的部门整体支出绩效评价指标体系进行了评分，形成了综合性书面报告。</w:t>
      </w:r>
    </w:p>
    <w:p>
      <w:pPr>
        <w:rPr>
          <w:sz w:val="28"/>
          <w:szCs w:val="28"/>
        </w:rPr>
      </w:pPr>
      <w:r>
        <w:rPr>
          <w:rFonts w:hint="eastAsia"/>
          <w:sz w:val="28"/>
          <w:szCs w:val="28"/>
          <w:lang w:val="en-US" w:eastAsia="zh-CN"/>
        </w:rPr>
        <w:t>（三）</w:t>
      </w:r>
      <w:r>
        <w:rPr>
          <w:rFonts w:hint="eastAsia"/>
          <w:sz w:val="28"/>
          <w:szCs w:val="28"/>
        </w:rPr>
        <w:t>主要绩效及评价结论</w:t>
      </w:r>
    </w:p>
    <w:p>
      <w:pPr>
        <w:ind w:firstLine="560" w:firstLineChars="200"/>
        <w:rPr>
          <w:sz w:val="28"/>
          <w:szCs w:val="28"/>
        </w:rPr>
      </w:pPr>
      <w:r>
        <w:rPr>
          <w:rFonts w:hint="eastAsia"/>
          <w:sz w:val="28"/>
          <w:szCs w:val="28"/>
        </w:rPr>
        <w:t>2021年，在区工委、管委会的正确领导下，奥管中心紧跟全区高质量发展步伐，以“四力高新”总愿景为目标，围绕“公园行政事务和挂靠人员的日常管理，负责公园在旅游和体育方面项目资金的申报与监督使用，负责公园国家4A级旅游景区的复核迎检保牌工作”等主责主业，踏实工作，中心四名同志（一名同志全年外借）较圆满地完成了各大型场馆的群众体育相关工作、免费低收费开放工作及国家级4A景区五年一复核的保牌等一系列工作任务。 主要工作成效如下：</w:t>
      </w:r>
    </w:p>
    <w:p>
      <w:pPr>
        <w:ind w:firstLine="560" w:firstLineChars="200"/>
        <w:rPr>
          <w:sz w:val="28"/>
          <w:szCs w:val="28"/>
        </w:rPr>
      </w:pPr>
      <w:r>
        <w:rPr>
          <w:rFonts w:hint="eastAsia"/>
          <w:sz w:val="28"/>
          <w:szCs w:val="28"/>
        </w:rPr>
        <w:t>1、立项争资：任务280万元，全年实际完成立项争资318.6万元，完成了立项争资任务的113.8%。其中中央财政免费低收费工作补助240万元，省级财政免费低收费工作补助63.6万元，市级财政其它体育项目补助15万。</w:t>
      </w:r>
    </w:p>
    <w:p>
      <w:pPr>
        <w:ind w:firstLine="560" w:firstLineChars="200"/>
        <w:rPr>
          <w:sz w:val="28"/>
          <w:szCs w:val="28"/>
        </w:rPr>
      </w:pPr>
      <w:r>
        <w:rPr>
          <w:rFonts w:hint="eastAsia"/>
          <w:sz w:val="28"/>
          <w:szCs w:val="28"/>
        </w:rPr>
        <w:t>2、群众体育与免费低收费工作：完成省、市、区大型体育场馆免费低收费开放工作的落实，目前已完成各级各类比赛、群众活动34场，入园人流量统计3842627人次，场馆健身技能培训12715人次，群众满意度高达96％。</w:t>
      </w:r>
    </w:p>
    <w:p>
      <w:pPr>
        <w:ind w:firstLine="560" w:firstLineChars="200"/>
        <w:rPr>
          <w:sz w:val="28"/>
          <w:szCs w:val="28"/>
        </w:rPr>
      </w:pPr>
      <w:r>
        <w:rPr>
          <w:rFonts w:hint="eastAsia"/>
          <w:sz w:val="28"/>
          <w:szCs w:val="28"/>
        </w:rPr>
        <w:t>3、完成4A景区复核与维护：通过与省市相关部门积极对接并邀请省相关考核专家来公园进行模拟复核和培训指导，督促搏一公司逐一落实整改，完成了国家级4A景区五年一复核的保牌工作。</w:t>
      </w:r>
    </w:p>
    <w:p>
      <w:pPr>
        <w:ind w:firstLine="560" w:firstLineChars="200"/>
        <w:rPr>
          <w:sz w:val="28"/>
          <w:szCs w:val="28"/>
        </w:rPr>
      </w:pPr>
      <w:r>
        <w:rPr>
          <w:rFonts w:hint="eastAsia"/>
          <w:sz w:val="28"/>
          <w:szCs w:val="28"/>
        </w:rPr>
        <w:t>4、完成市级爱教基地维护：加强了游客中心工作，增设实施和宣传资料，加强志愿者服务工作。完善文化体育历史性资料，加强文化体育知识宣讲及传播工作，弘扬中国传统文化及体育精神。</w:t>
      </w:r>
    </w:p>
    <w:p>
      <w:pPr>
        <w:ind w:firstLine="560" w:firstLineChars="200"/>
        <w:rPr>
          <w:sz w:val="28"/>
          <w:szCs w:val="28"/>
        </w:rPr>
      </w:pPr>
      <w:r>
        <w:rPr>
          <w:rFonts w:hint="eastAsia"/>
          <w:sz w:val="28"/>
          <w:szCs w:val="28"/>
        </w:rPr>
        <w:t>5、完成人员管理工作：奥管中心共管理各类人员33人，其中在岗4人，外借12人，退休15人，离岗创业2人。到目前为止，外借人员12人中开除1人，离岗创业2人中辞职1人，现共有管理人员31人。完成相关人事档案整理与完善。</w:t>
      </w:r>
    </w:p>
    <w:p>
      <w:pPr>
        <w:ind w:firstLine="560" w:firstLineChars="200"/>
        <w:rPr>
          <w:sz w:val="28"/>
          <w:szCs w:val="28"/>
        </w:rPr>
      </w:pPr>
      <w:r>
        <w:rPr>
          <w:rFonts w:hint="eastAsia"/>
          <w:sz w:val="28"/>
          <w:szCs w:val="28"/>
        </w:rPr>
        <w:t>6、完成资产管理：完成了公园建园以来近二十年的第一次全面资产清查与评估。自2020年6月～2021年4月，我中心通过自查及聘请第三方评估公司，完成了对奥林匹克公园的全面资产清查与评估。共清查资产464件（批），随后中心按相关规定，对所有资产进行了分类管理与处置。</w:t>
      </w:r>
    </w:p>
    <w:p>
      <w:pPr>
        <w:ind w:firstLine="560" w:firstLineChars="200"/>
        <w:rPr>
          <w:sz w:val="28"/>
          <w:szCs w:val="28"/>
        </w:rPr>
      </w:pPr>
      <w:r>
        <w:rPr>
          <w:rFonts w:hint="eastAsia"/>
          <w:sz w:val="28"/>
          <w:szCs w:val="28"/>
        </w:rPr>
        <w:t>7、完成审计整改工作：完成公园2017—2019年财务审计一系列的整改工作，包括追回已分散至区内六个部门114人违规列支财政资金用于缴纳个人保险费部分共计 418399.06元，返还二个单位26人多代扣个人部份保险费共计 12523.96元。</w:t>
      </w:r>
    </w:p>
    <w:p>
      <w:pPr>
        <w:ind w:firstLine="560" w:firstLineChars="200"/>
        <w:rPr>
          <w:sz w:val="28"/>
          <w:szCs w:val="28"/>
        </w:rPr>
      </w:pPr>
      <w:r>
        <w:rPr>
          <w:rFonts w:hint="eastAsia"/>
          <w:sz w:val="28"/>
          <w:szCs w:val="28"/>
        </w:rPr>
        <w:t>8、完成平安建设与环保工作：坚持定期进行安全生产检查与隐患排查，积极与应急、环保、地质、电力等部门对接协调，确保了奥林匹克公园的安全与稳定；公园的国控点是全区蓝天保卫战的核心，我们主动作为，清理国控点周边7000平米范围内的杂草、小灌木、麻竹及高大乔木，清理清运杂物60余车，有力地保证了国控点空气监测指标的真实性与准确性。</w:t>
      </w:r>
    </w:p>
    <w:p>
      <w:pPr>
        <w:ind w:firstLine="560" w:firstLineChars="200"/>
        <w:rPr>
          <w:sz w:val="28"/>
          <w:szCs w:val="28"/>
        </w:rPr>
      </w:pPr>
      <w:r>
        <w:rPr>
          <w:rFonts w:hint="eastAsia"/>
          <w:sz w:val="28"/>
          <w:szCs w:val="28"/>
        </w:rPr>
        <w:t>9、完成管委会交办的其它工作和临时任务，如疫情防控、创文保卫、意识形态等。</w:t>
      </w:r>
    </w:p>
    <w:p>
      <w:pPr>
        <w:rPr>
          <w:sz w:val="28"/>
          <w:szCs w:val="28"/>
        </w:rPr>
      </w:pPr>
      <w:r>
        <w:rPr>
          <w:rFonts w:hint="eastAsia"/>
          <w:sz w:val="28"/>
          <w:szCs w:val="28"/>
          <w:lang w:eastAsia="zh-CN"/>
        </w:rPr>
        <w:t>（四）</w:t>
      </w:r>
      <w:r>
        <w:rPr>
          <w:rFonts w:hint="eastAsia"/>
          <w:sz w:val="28"/>
          <w:szCs w:val="28"/>
        </w:rPr>
        <w:t>评价结论</w:t>
      </w:r>
    </w:p>
    <w:p>
      <w:pPr>
        <w:ind w:firstLine="560" w:firstLineChars="200"/>
        <w:rPr>
          <w:rFonts w:hint="eastAsia"/>
          <w:sz w:val="28"/>
          <w:szCs w:val="28"/>
        </w:rPr>
      </w:pPr>
      <w:r>
        <w:rPr>
          <w:rFonts w:hint="eastAsia"/>
          <w:sz w:val="28"/>
          <w:szCs w:val="28"/>
        </w:rPr>
        <w:t>预算执行到位。严格执行《预算法》和各项财经纪律，机关管理制度健全，财务管理规范，预算编制合理;</w:t>
      </w:r>
      <w:r>
        <w:rPr>
          <w:sz w:val="28"/>
          <w:szCs w:val="28"/>
        </w:rPr>
        <w:t> </w:t>
      </w:r>
      <w:r>
        <w:rPr>
          <w:rFonts w:hint="eastAsia"/>
          <w:sz w:val="28"/>
          <w:szCs w:val="28"/>
        </w:rPr>
        <w:t>二是资金监管到位。具体评分如下：目标设定4分，预算配置1</w:t>
      </w:r>
      <w:r>
        <w:rPr>
          <w:sz w:val="28"/>
          <w:szCs w:val="28"/>
        </w:rPr>
        <w:t>5</w:t>
      </w:r>
      <w:r>
        <w:rPr>
          <w:rFonts w:hint="eastAsia"/>
          <w:sz w:val="28"/>
          <w:szCs w:val="28"/>
        </w:rPr>
        <w:t>分，预算执行1</w:t>
      </w:r>
      <w:r>
        <w:rPr>
          <w:sz w:val="28"/>
          <w:szCs w:val="28"/>
        </w:rPr>
        <w:t>9</w:t>
      </w:r>
      <w:r>
        <w:rPr>
          <w:rFonts w:hint="eastAsia"/>
          <w:sz w:val="28"/>
          <w:szCs w:val="28"/>
        </w:rPr>
        <w:t>分，预算管理</w:t>
      </w:r>
      <w:r>
        <w:rPr>
          <w:sz w:val="28"/>
          <w:szCs w:val="28"/>
        </w:rPr>
        <w:t>4.6</w:t>
      </w:r>
      <w:r>
        <w:rPr>
          <w:rFonts w:hint="eastAsia"/>
          <w:sz w:val="28"/>
          <w:szCs w:val="28"/>
        </w:rPr>
        <w:t>分，资产管理5分，职责履行2</w:t>
      </w:r>
      <w:r>
        <w:rPr>
          <w:sz w:val="28"/>
          <w:szCs w:val="28"/>
        </w:rPr>
        <w:t>7</w:t>
      </w:r>
      <w:r>
        <w:rPr>
          <w:rFonts w:hint="eastAsia"/>
          <w:sz w:val="28"/>
          <w:szCs w:val="28"/>
        </w:rPr>
        <w:t>分，履职效益1</w:t>
      </w:r>
      <w:r>
        <w:rPr>
          <w:sz w:val="28"/>
          <w:szCs w:val="28"/>
        </w:rPr>
        <w:t>9</w:t>
      </w:r>
      <w:r>
        <w:rPr>
          <w:rFonts w:hint="eastAsia"/>
          <w:sz w:val="28"/>
          <w:szCs w:val="28"/>
        </w:rPr>
        <w:t>分，总分9</w:t>
      </w:r>
      <w:r>
        <w:rPr>
          <w:sz w:val="28"/>
          <w:szCs w:val="28"/>
        </w:rPr>
        <w:t>3</w:t>
      </w:r>
      <w:r>
        <w:rPr>
          <w:rFonts w:hint="eastAsia"/>
          <w:sz w:val="28"/>
          <w:szCs w:val="28"/>
        </w:rPr>
        <w:t>.</w:t>
      </w:r>
      <w:r>
        <w:rPr>
          <w:sz w:val="28"/>
          <w:szCs w:val="28"/>
        </w:rPr>
        <w:t>6</w:t>
      </w:r>
      <w:r>
        <w:rPr>
          <w:rFonts w:hint="eastAsia"/>
          <w:sz w:val="28"/>
          <w:szCs w:val="28"/>
        </w:rPr>
        <w:t>分优等.</w:t>
      </w:r>
    </w:p>
    <w:p>
      <w:pPr>
        <w:rPr>
          <w:sz w:val="28"/>
          <w:szCs w:val="28"/>
        </w:rPr>
      </w:pPr>
      <w:r>
        <w:rPr>
          <w:rFonts w:hint="eastAsia"/>
          <w:sz w:val="28"/>
          <w:szCs w:val="28"/>
          <w:lang w:eastAsia="zh-CN"/>
        </w:rPr>
        <w:t>（五）</w:t>
      </w:r>
      <w:r>
        <w:rPr>
          <w:rFonts w:hint="eastAsia"/>
          <w:sz w:val="28"/>
          <w:szCs w:val="28"/>
        </w:rPr>
        <w:t>存在的问题</w:t>
      </w:r>
    </w:p>
    <w:p>
      <w:pPr>
        <w:ind w:firstLine="560" w:firstLineChars="200"/>
        <w:rPr>
          <w:sz w:val="28"/>
          <w:szCs w:val="28"/>
        </w:rPr>
      </w:pPr>
      <w:r>
        <w:rPr>
          <w:rFonts w:hint="eastAsia"/>
          <w:sz w:val="28"/>
          <w:szCs w:val="28"/>
        </w:rPr>
        <w:t>1、因部分工作不可预见性，有些支出无法纳入预算，导致预算执行存在偏差。</w:t>
      </w:r>
    </w:p>
    <w:p>
      <w:pPr>
        <w:ind w:firstLine="560" w:firstLineChars="200"/>
        <w:rPr>
          <w:rFonts w:hint="eastAsia"/>
          <w:sz w:val="28"/>
          <w:szCs w:val="28"/>
        </w:rPr>
      </w:pPr>
      <w:r>
        <w:rPr>
          <w:sz w:val="28"/>
          <w:szCs w:val="28"/>
        </w:rPr>
        <w:t>2</w:t>
      </w:r>
      <w:r>
        <w:rPr>
          <w:rFonts w:hint="eastAsia"/>
          <w:sz w:val="28"/>
          <w:szCs w:val="28"/>
        </w:rPr>
        <w:t>、财务制度执行力有待加强，资金使用计划有待细化。</w:t>
      </w:r>
    </w:p>
    <w:p>
      <w:pPr>
        <w:ind w:firstLine="560" w:firstLineChars="200"/>
        <w:rPr>
          <w:sz w:val="28"/>
          <w:szCs w:val="28"/>
        </w:rPr>
      </w:pPr>
      <w:r>
        <w:rPr>
          <w:sz w:val="28"/>
          <w:szCs w:val="28"/>
        </w:rPr>
        <w:t>3</w:t>
      </w:r>
      <w:r>
        <w:rPr>
          <w:rFonts w:hint="eastAsia"/>
          <w:sz w:val="28"/>
          <w:szCs w:val="28"/>
        </w:rPr>
        <w:t>、人员素质有待进一步提高。由于预算绩效管理工作开展时间短，涉及面广，专业性强，加上缺乏系统的培训，单位对预算绩效管理理解不充分，对预算绩效管理业务不精通，在一定程度上影响绩效评价工作质量。</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宋体" w:hAnsi="宋体" w:cs="黑体"/>
          <w:color w:val="000000"/>
          <w:kern w:val="0"/>
          <w:sz w:val="32"/>
          <w:szCs w:val="32"/>
        </w:rPr>
      </w:pPr>
    </w:p>
    <w:p>
      <w:pPr>
        <w:widowControl w:val="0"/>
        <w:wordWrap/>
        <w:adjustRightInd w:val="0"/>
        <w:snapToGrid w:val="0"/>
        <w:spacing w:before="0" w:after="0" w:line="600" w:lineRule="exact"/>
        <w:ind w:left="0" w:leftChars="0" w:right="0" w:firstLine="640" w:firstLineChars="200"/>
        <w:jc w:val="both"/>
        <w:textAlignment w:val="auto"/>
        <w:outlineLvl w:val="9"/>
        <w:rPr>
          <w:rFonts w:hint="eastAsia" w:ascii="宋体" w:hAnsi="宋体" w:eastAsia="宋体" w:cs="宋体"/>
          <w:sz w:val="32"/>
          <w:szCs w:val="32"/>
        </w:rPr>
      </w:pPr>
      <w:r>
        <w:rPr>
          <w:rFonts w:hint="eastAsia" w:ascii="宋体" w:hAnsi="宋体" w:cs="黑体"/>
          <w:color w:val="000000"/>
          <w:kern w:val="0"/>
          <w:sz w:val="32"/>
          <w:szCs w:val="32"/>
        </w:rPr>
        <w:t>一、</w:t>
      </w:r>
      <w:r>
        <w:rPr>
          <w:rFonts w:hint="eastAsia" w:ascii="宋体" w:hAnsi="宋体" w:eastAsia="宋体" w:cs="宋体"/>
          <w:color w:val="000000"/>
          <w:sz w:val="32"/>
          <w:szCs w:val="32"/>
        </w:rPr>
        <w:t>财政拨款收入：指本级财政当年拨付的资金。</w:t>
      </w:r>
      <w:r>
        <w:rPr>
          <w:rFonts w:hint="eastAsia" w:ascii="宋体" w:hAnsi="宋体" w:eastAsia="宋体" w:cs="宋体"/>
          <w:sz w:val="32"/>
          <w:szCs w:val="32"/>
        </w:rPr>
        <w:t xml:space="preserve"> </w:t>
      </w:r>
    </w:p>
    <w:p>
      <w:pPr>
        <w:widowControl w:val="0"/>
        <w:wordWrap/>
        <w:adjustRightInd w:val="0"/>
        <w:snapToGrid w:val="0"/>
        <w:spacing w:before="0" w:after="0" w:line="600" w:lineRule="exact"/>
        <w:ind w:left="0" w:leftChars="0" w:right="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color w:val="000000"/>
          <w:sz w:val="32"/>
          <w:szCs w:val="32"/>
        </w:rPr>
        <w:t>二、其他收入：</w:t>
      </w:r>
      <w:r>
        <w:rPr>
          <w:rFonts w:hint="eastAsia" w:ascii="宋体" w:hAnsi="宋体" w:eastAsia="宋体" w:cs="宋体"/>
          <w:sz w:val="32"/>
          <w:szCs w:val="32"/>
        </w:rPr>
        <w:t>指除“财政拨款收入”、“事业收入”、“经营收入”等以外的收入。主要是本级横向拨款、非本级拨款、利息收入等。</w:t>
      </w:r>
    </w:p>
    <w:p>
      <w:pPr>
        <w:widowControl w:val="0"/>
        <w:wordWrap/>
        <w:adjustRightInd w:val="0"/>
        <w:snapToGrid w:val="0"/>
        <w:spacing w:before="0" w:after="0" w:line="600" w:lineRule="exact"/>
        <w:ind w:left="0" w:leftChars="0" w:right="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color w:val="000000"/>
          <w:sz w:val="32"/>
          <w:szCs w:val="32"/>
        </w:rPr>
        <w:t>三、年初结转和结余：</w:t>
      </w:r>
      <w:r>
        <w:rPr>
          <w:rFonts w:hint="eastAsia" w:ascii="宋体" w:hAnsi="宋体" w:eastAsia="宋体" w:cs="宋体"/>
          <w:sz w:val="32"/>
          <w:szCs w:val="32"/>
        </w:rPr>
        <w:t xml:space="preserve">指以前年度尚未完成、结转到本年按有关规定继续使用的资金。 </w:t>
      </w:r>
    </w:p>
    <w:p>
      <w:pPr>
        <w:widowControl w:val="0"/>
        <w:wordWrap/>
        <w:adjustRightInd w:val="0"/>
        <w:snapToGrid w:val="0"/>
        <w:spacing w:before="0" w:after="0" w:line="600" w:lineRule="exact"/>
        <w:ind w:left="0" w:leftChars="0" w:right="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color w:val="000000"/>
          <w:sz w:val="32"/>
          <w:szCs w:val="32"/>
        </w:rPr>
        <w:t>四、年末结转和结余：</w:t>
      </w:r>
      <w:r>
        <w:rPr>
          <w:rFonts w:hint="eastAsia" w:ascii="宋体" w:hAnsi="宋体" w:eastAsia="宋体" w:cs="宋体"/>
          <w:sz w:val="32"/>
          <w:szCs w:val="32"/>
        </w:rPr>
        <w:t xml:space="preserve">指本年度或以前年度预算安排、因客观条件发生变化无法按原计划实施，需要延迟到以后年度按有关规定继续使用的资金。 </w:t>
      </w:r>
    </w:p>
    <w:p>
      <w:pPr>
        <w:widowControl w:val="0"/>
        <w:wordWrap/>
        <w:adjustRightInd w:val="0"/>
        <w:snapToGrid w:val="0"/>
        <w:spacing w:before="0" w:after="0" w:line="600" w:lineRule="exact"/>
        <w:ind w:left="0" w:leftChars="0" w:right="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color w:val="000000"/>
          <w:sz w:val="32"/>
          <w:szCs w:val="32"/>
        </w:rPr>
        <w:t>五、基本支出：</w:t>
      </w:r>
      <w:r>
        <w:rPr>
          <w:rFonts w:hint="eastAsia" w:ascii="宋体" w:hAnsi="宋体" w:eastAsia="宋体" w:cs="宋体"/>
          <w:sz w:val="32"/>
          <w:szCs w:val="32"/>
        </w:rPr>
        <w:t xml:space="preserve">指为保障机构正常运转、完成日常工作任务而发生的人员支出和公用支出。 </w:t>
      </w:r>
    </w:p>
    <w:p>
      <w:pPr>
        <w:widowControl w:val="0"/>
        <w:wordWrap/>
        <w:adjustRightInd w:val="0"/>
        <w:snapToGrid w:val="0"/>
        <w:spacing w:before="0" w:after="0" w:line="600" w:lineRule="exact"/>
        <w:ind w:left="0" w:leftChars="0" w:right="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color w:val="000000"/>
          <w:sz w:val="32"/>
          <w:szCs w:val="32"/>
        </w:rPr>
        <w:t>六、项目支出：</w:t>
      </w:r>
      <w:r>
        <w:rPr>
          <w:rFonts w:hint="eastAsia" w:ascii="宋体" w:hAnsi="宋体" w:eastAsia="宋体" w:cs="宋体"/>
          <w:sz w:val="32"/>
          <w:szCs w:val="32"/>
        </w:rPr>
        <w:t xml:space="preserve">指在基本支出之外为完成特定行政任务和事业发展目标所发生的支出。 </w:t>
      </w:r>
    </w:p>
    <w:p>
      <w:pPr>
        <w:widowControl w:val="0"/>
        <w:wordWrap/>
        <w:adjustRightInd w:val="0"/>
        <w:snapToGrid w:val="0"/>
        <w:spacing w:before="0" w:after="0" w:line="600" w:lineRule="exact"/>
        <w:ind w:left="0" w:leftChars="0" w:right="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color w:val="000000"/>
          <w:sz w:val="32"/>
          <w:szCs w:val="32"/>
        </w:rPr>
        <w:t>七、“三公”经费：</w:t>
      </w:r>
      <w:r>
        <w:rPr>
          <w:rFonts w:hint="eastAsia" w:ascii="宋体" w:hAnsi="宋体" w:eastAsia="宋体" w:cs="宋体"/>
          <w:sz w:val="32"/>
          <w:szCs w:val="32"/>
        </w:rPr>
        <w:t xml:space="preserve">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widowControl w:val="0"/>
        <w:wordWrap/>
        <w:adjustRightInd w:val="0"/>
        <w:snapToGrid w:val="0"/>
        <w:spacing w:before="0" w:after="0" w:line="600" w:lineRule="exact"/>
        <w:ind w:left="0" w:leftChars="0" w:right="0" w:firstLine="640" w:firstLineChars="200"/>
        <w:jc w:val="both"/>
        <w:textAlignment w:val="auto"/>
        <w:outlineLvl w:val="9"/>
        <w:rPr>
          <w:sz w:val="72"/>
          <w:szCs w:val="72"/>
        </w:rPr>
      </w:pPr>
      <w:r>
        <w:rPr>
          <w:rFonts w:hint="eastAsia" w:ascii="宋体" w:hAnsi="宋体" w:eastAsia="宋体" w:cs="宋体"/>
          <w:color w:val="000000"/>
          <w:sz w:val="32"/>
          <w:szCs w:val="32"/>
        </w:rPr>
        <w:t>八、机关运行经费：</w:t>
      </w:r>
      <w:r>
        <w:rPr>
          <w:rFonts w:hint="eastAsia" w:ascii="宋体" w:hAnsi="宋体" w:eastAsia="宋体"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它经费</w:t>
      </w:r>
      <w:r>
        <w:rPr>
          <w:rFonts w:hint="eastAsia" w:ascii="宋体" w:hAnsi="宋体" w:eastAsia="宋体" w:cs="宋体"/>
          <w:sz w:val="32"/>
          <w:szCs w:val="32"/>
          <w:lang w:eastAsia="zh-CN"/>
        </w:rPr>
        <w:t>。</w:t>
      </w:r>
    </w:p>
    <w:p>
      <w:pPr>
        <w:pStyle w:val="13"/>
        <w:jc w:val="both"/>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ascii="宋体" w:hAnsi="宋体" w:cs="黑体"/>
          <w:b/>
          <w:color w:val="000000"/>
          <w:kern w:val="0"/>
          <w:sz w:val="32"/>
          <w:szCs w:val="32"/>
        </w:rPr>
      </w:pPr>
      <w:r>
        <w:rPr>
          <w:rFonts w:hint="eastAsia" w:ascii="宋体" w:hAnsi="宋体" w:cs="黑体"/>
          <w:b/>
          <w:color w:val="000000"/>
          <w:kern w:val="0"/>
          <w:sz w:val="32"/>
          <w:szCs w:val="32"/>
        </w:rPr>
        <w:t>2021年度部门整体支出绩效评价报告</w:t>
      </w:r>
    </w:p>
    <w:p>
      <w:pPr>
        <w:rPr>
          <w:sz w:val="28"/>
          <w:szCs w:val="28"/>
        </w:rPr>
      </w:pPr>
      <w:r>
        <w:rPr>
          <w:rFonts w:hint="eastAsia"/>
          <w:sz w:val="28"/>
          <w:szCs w:val="28"/>
        </w:rPr>
        <w:t>一</w:t>
      </w:r>
      <w:r>
        <w:rPr>
          <w:rFonts w:hint="eastAsia"/>
          <w:sz w:val="28"/>
          <w:szCs w:val="28"/>
          <w:lang w:eastAsia="zh-CN"/>
        </w:rPr>
        <w:t>、</w:t>
      </w:r>
      <w:r>
        <w:rPr>
          <w:rFonts w:hint="eastAsia"/>
          <w:sz w:val="28"/>
          <w:szCs w:val="28"/>
        </w:rPr>
        <w:t>部门整体支出概况</w:t>
      </w:r>
    </w:p>
    <w:p>
      <w:pPr>
        <w:ind w:firstLine="560" w:firstLineChars="200"/>
        <w:rPr>
          <w:sz w:val="28"/>
          <w:szCs w:val="28"/>
        </w:rPr>
      </w:pPr>
      <w:r>
        <w:rPr>
          <w:rFonts w:hint="eastAsia"/>
          <w:sz w:val="28"/>
          <w:szCs w:val="28"/>
        </w:rPr>
        <w:t>2</w:t>
      </w:r>
      <w:r>
        <w:rPr>
          <w:sz w:val="28"/>
          <w:szCs w:val="28"/>
        </w:rPr>
        <w:t>021</w:t>
      </w:r>
      <w:r>
        <w:rPr>
          <w:rFonts w:hint="eastAsia"/>
          <w:sz w:val="28"/>
          <w:szCs w:val="28"/>
        </w:rPr>
        <w:t>年益阳奥林匹克公园管理中心（以下简称“中心”）部门年初预算收入4</w:t>
      </w:r>
      <w:r>
        <w:rPr>
          <w:sz w:val="28"/>
          <w:szCs w:val="28"/>
        </w:rPr>
        <w:t>43.1</w:t>
      </w:r>
      <w:r>
        <w:rPr>
          <w:rFonts w:hint="eastAsia"/>
          <w:sz w:val="28"/>
          <w:szCs w:val="28"/>
        </w:rPr>
        <w:t>万元，其构成为一般公共预算拨款收入4</w:t>
      </w:r>
      <w:r>
        <w:rPr>
          <w:sz w:val="28"/>
          <w:szCs w:val="28"/>
        </w:rPr>
        <w:t>43.1</w:t>
      </w:r>
      <w:r>
        <w:rPr>
          <w:rFonts w:hint="eastAsia"/>
          <w:sz w:val="28"/>
          <w:szCs w:val="28"/>
        </w:rPr>
        <w:t>万元，政府性基金拨款为0，其他收入为0。</w:t>
      </w:r>
    </w:p>
    <w:p>
      <w:pPr>
        <w:ind w:firstLine="560" w:firstLineChars="200"/>
        <w:rPr>
          <w:sz w:val="28"/>
          <w:szCs w:val="28"/>
        </w:rPr>
      </w:pPr>
      <w:r>
        <w:rPr>
          <w:rFonts w:hint="eastAsia"/>
          <w:sz w:val="28"/>
          <w:szCs w:val="28"/>
        </w:rPr>
        <w:t>2</w:t>
      </w:r>
      <w:r>
        <w:rPr>
          <w:sz w:val="28"/>
          <w:szCs w:val="28"/>
        </w:rPr>
        <w:t>021</w:t>
      </w:r>
      <w:r>
        <w:rPr>
          <w:rFonts w:hint="eastAsia"/>
          <w:sz w:val="28"/>
          <w:szCs w:val="28"/>
        </w:rPr>
        <w:t>年中心部门年初预算支出为4</w:t>
      </w:r>
      <w:r>
        <w:rPr>
          <w:sz w:val="28"/>
          <w:szCs w:val="28"/>
        </w:rPr>
        <w:t>43.1</w:t>
      </w:r>
      <w:r>
        <w:rPr>
          <w:rFonts w:hint="eastAsia"/>
          <w:sz w:val="28"/>
          <w:szCs w:val="28"/>
        </w:rPr>
        <w:t>万元，按功能分类其构成为一般公共支出4</w:t>
      </w:r>
      <w:r>
        <w:rPr>
          <w:sz w:val="28"/>
          <w:szCs w:val="28"/>
        </w:rPr>
        <w:t>.03</w:t>
      </w:r>
      <w:r>
        <w:rPr>
          <w:rFonts w:hint="eastAsia"/>
          <w:sz w:val="28"/>
          <w:szCs w:val="28"/>
        </w:rPr>
        <w:t>万元，文化旅游体育与传媒支出为3</w:t>
      </w:r>
      <w:r>
        <w:rPr>
          <w:sz w:val="28"/>
          <w:szCs w:val="28"/>
        </w:rPr>
        <w:t>37.05</w:t>
      </w:r>
      <w:r>
        <w:rPr>
          <w:rFonts w:hint="eastAsia"/>
          <w:sz w:val="28"/>
          <w:szCs w:val="28"/>
        </w:rPr>
        <w:t>万元，社会保障和就业支出为5</w:t>
      </w:r>
      <w:r>
        <w:rPr>
          <w:sz w:val="28"/>
          <w:szCs w:val="28"/>
        </w:rPr>
        <w:t>2.89</w:t>
      </w:r>
      <w:r>
        <w:rPr>
          <w:rFonts w:hint="eastAsia"/>
          <w:sz w:val="28"/>
          <w:szCs w:val="28"/>
        </w:rPr>
        <w:t>万元，卫生健康支出为2</w:t>
      </w:r>
      <w:r>
        <w:rPr>
          <w:sz w:val="28"/>
          <w:szCs w:val="28"/>
        </w:rPr>
        <w:t>8.31</w:t>
      </w:r>
      <w:r>
        <w:rPr>
          <w:rFonts w:hint="eastAsia"/>
          <w:sz w:val="28"/>
          <w:szCs w:val="28"/>
        </w:rPr>
        <w:t>万元，住房保障支出为2</w:t>
      </w:r>
      <w:r>
        <w:rPr>
          <w:sz w:val="28"/>
          <w:szCs w:val="28"/>
        </w:rPr>
        <w:t>0.82</w:t>
      </w:r>
      <w:r>
        <w:rPr>
          <w:rFonts w:hint="eastAsia"/>
          <w:sz w:val="28"/>
          <w:szCs w:val="28"/>
        </w:rPr>
        <w:t>万元；按支出性质与经济分类其构成为基本支出2</w:t>
      </w:r>
      <w:r>
        <w:rPr>
          <w:sz w:val="28"/>
          <w:szCs w:val="28"/>
        </w:rPr>
        <w:t>63.1</w:t>
      </w:r>
      <w:r>
        <w:rPr>
          <w:rFonts w:hint="eastAsia"/>
          <w:sz w:val="28"/>
          <w:szCs w:val="28"/>
        </w:rPr>
        <w:t>万元，项目支出为1</w:t>
      </w:r>
      <w:r>
        <w:rPr>
          <w:sz w:val="28"/>
          <w:szCs w:val="28"/>
        </w:rPr>
        <w:t>80</w:t>
      </w:r>
      <w:r>
        <w:rPr>
          <w:rFonts w:hint="eastAsia"/>
          <w:sz w:val="28"/>
          <w:szCs w:val="28"/>
        </w:rPr>
        <w:t>万元.基本支出其中工资福利支出2</w:t>
      </w:r>
      <w:r>
        <w:rPr>
          <w:sz w:val="28"/>
          <w:szCs w:val="28"/>
        </w:rPr>
        <w:t>06.2</w:t>
      </w:r>
      <w:r>
        <w:rPr>
          <w:rFonts w:hint="eastAsia"/>
          <w:sz w:val="28"/>
          <w:szCs w:val="28"/>
        </w:rPr>
        <w:t>万元，商品与服务支出3</w:t>
      </w:r>
      <w:r>
        <w:rPr>
          <w:sz w:val="28"/>
          <w:szCs w:val="28"/>
        </w:rPr>
        <w:t>1.88</w:t>
      </w:r>
      <w:r>
        <w:rPr>
          <w:rFonts w:hint="eastAsia"/>
          <w:sz w:val="28"/>
          <w:szCs w:val="28"/>
        </w:rPr>
        <w:t>万元，对个人和家庭补助2</w:t>
      </w:r>
      <w:r>
        <w:rPr>
          <w:sz w:val="28"/>
          <w:szCs w:val="28"/>
        </w:rPr>
        <w:t>5.02</w:t>
      </w:r>
      <w:r>
        <w:rPr>
          <w:rFonts w:hint="eastAsia"/>
          <w:sz w:val="28"/>
          <w:szCs w:val="28"/>
        </w:rPr>
        <w:t>万元，。</w:t>
      </w:r>
    </w:p>
    <w:p>
      <w:pPr>
        <w:ind w:firstLine="560" w:firstLineChars="200"/>
        <w:rPr>
          <w:sz w:val="28"/>
          <w:szCs w:val="28"/>
        </w:rPr>
      </w:pPr>
      <w:r>
        <w:rPr>
          <w:rFonts w:hint="eastAsia"/>
          <w:sz w:val="28"/>
          <w:szCs w:val="28"/>
        </w:rPr>
        <w:t>2</w:t>
      </w:r>
      <w:r>
        <w:rPr>
          <w:sz w:val="28"/>
          <w:szCs w:val="28"/>
        </w:rPr>
        <w:t>021</w:t>
      </w:r>
      <w:r>
        <w:rPr>
          <w:rFonts w:hint="eastAsia"/>
          <w:sz w:val="28"/>
          <w:szCs w:val="28"/>
        </w:rPr>
        <w:t>年中心决算收入为9</w:t>
      </w:r>
      <w:r>
        <w:rPr>
          <w:sz w:val="28"/>
          <w:szCs w:val="28"/>
        </w:rPr>
        <w:t>26.85</w:t>
      </w:r>
      <w:r>
        <w:rPr>
          <w:rFonts w:hint="eastAsia"/>
          <w:sz w:val="28"/>
          <w:szCs w:val="28"/>
        </w:rPr>
        <w:t>万元，其构成为一般公共预算财政拨款收入8</w:t>
      </w:r>
      <w:r>
        <w:rPr>
          <w:sz w:val="28"/>
          <w:szCs w:val="28"/>
        </w:rPr>
        <w:t>61.22</w:t>
      </w:r>
      <w:r>
        <w:rPr>
          <w:rFonts w:hint="eastAsia"/>
          <w:sz w:val="28"/>
          <w:szCs w:val="28"/>
        </w:rPr>
        <w:t>万元，政府性基金预算财政拨款收入5万元，其他收入6</w:t>
      </w:r>
      <w:r>
        <w:rPr>
          <w:sz w:val="28"/>
          <w:szCs w:val="28"/>
        </w:rPr>
        <w:t>0.62</w:t>
      </w:r>
      <w:r>
        <w:rPr>
          <w:rFonts w:hint="eastAsia"/>
          <w:sz w:val="28"/>
          <w:szCs w:val="28"/>
        </w:rPr>
        <w:t>万元。相比年初预算收入增加4</w:t>
      </w:r>
      <w:r>
        <w:rPr>
          <w:sz w:val="28"/>
          <w:szCs w:val="28"/>
        </w:rPr>
        <w:t>83.75</w:t>
      </w:r>
      <w:r>
        <w:rPr>
          <w:rFonts w:hint="eastAsia"/>
          <w:sz w:val="28"/>
          <w:szCs w:val="28"/>
        </w:rPr>
        <w:t>万元，年初预算完成率为2</w:t>
      </w:r>
      <w:r>
        <w:rPr>
          <w:sz w:val="28"/>
          <w:szCs w:val="28"/>
        </w:rPr>
        <w:t>09%</w:t>
      </w:r>
      <w:r>
        <w:rPr>
          <w:rFonts w:hint="eastAsia"/>
          <w:sz w:val="28"/>
          <w:szCs w:val="28"/>
        </w:rPr>
        <w:t>，其中一般公共预算拨款收入年初预算完成率为1</w:t>
      </w:r>
      <w:r>
        <w:rPr>
          <w:sz w:val="28"/>
          <w:szCs w:val="28"/>
        </w:rPr>
        <w:t>94%</w:t>
      </w:r>
      <w:r>
        <w:rPr>
          <w:rFonts w:hint="eastAsia"/>
          <w:sz w:val="28"/>
          <w:szCs w:val="28"/>
        </w:rPr>
        <w:t>。</w:t>
      </w:r>
    </w:p>
    <w:p>
      <w:pPr>
        <w:ind w:firstLine="560" w:firstLineChars="200"/>
        <w:rPr>
          <w:sz w:val="28"/>
          <w:szCs w:val="28"/>
        </w:rPr>
      </w:pPr>
      <w:r>
        <w:rPr>
          <w:rFonts w:hint="eastAsia"/>
          <w:sz w:val="28"/>
          <w:szCs w:val="28"/>
        </w:rPr>
        <w:t>2</w:t>
      </w:r>
      <w:r>
        <w:rPr>
          <w:sz w:val="28"/>
          <w:szCs w:val="28"/>
        </w:rPr>
        <w:t>021</w:t>
      </w:r>
      <w:r>
        <w:rPr>
          <w:rFonts w:hint="eastAsia"/>
          <w:sz w:val="28"/>
          <w:szCs w:val="28"/>
        </w:rPr>
        <w:t>年中心决算支出为9</w:t>
      </w:r>
      <w:r>
        <w:rPr>
          <w:sz w:val="28"/>
          <w:szCs w:val="28"/>
        </w:rPr>
        <w:t>26.85</w:t>
      </w:r>
      <w:r>
        <w:rPr>
          <w:rFonts w:hint="eastAsia"/>
          <w:sz w:val="28"/>
          <w:szCs w:val="28"/>
        </w:rPr>
        <w:t>万元，按功能分类其中一般公共服务支出5</w:t>
      </w:r>
      <w:r>
        <w:rPr>
          <w:sz w:val="28"/>
          <w:szCs w:val="28"/>
        </w:rPr>
        <w:t>1.55</w:t>
      </w:r>
      <w:r>
        <w:rPr>
          <w:rFonts w:hint="eastAsia"/>
          <w:sz w:val="28"/>
          <w:szCs w:val="28"/>
        </w:rPr>
        <w:t>万元，文化旅游体育与传媒支出7</w:t>
      </w:r>
      <w:r>
        <w:rPr>
          <w:sz w:val="28"/>
          <w:szCs w:val="28"/>
        </w:rPr>
        <w:t>62.54</w:t>
      </w:r>
      <w:r>
        <w:rPr>
          <w:rFonts w:hint="eastAsia"/>
          <w:sz w:val="28"/>
          <w:szCs w:val="28"/>
        </w:rPr>
        <w:t>万元，社会保障和就业支出5</w:t>
      </w:r>
      <w:r>
        <w:rPr>
          <w:sz w:val="28"/>
          <w:szCs w:val="28"/>
        </w:rPr>
        <w:t>5.78</w:t>
      </w:r>
      <w:r>
        <w:rPr>
          <w:rFonts w:hint="eastAsia"/>
          <w:sz w:val="28"/>
          <w:szCs w:val="28"/>
        </w:rPr>
        <w:t>万元，卫生健康支出2</w:t>
      </w:r>
      <w:r>
        <w:rPr>
          <w:sz w:val="28"/>
          <w:szCs w:val="28"/>
        </w:rPr>
        <w:t>8.31</w:t>
      </w:r>
      <w:r>
        <w:rPr>
          <w:rFonts w:hint="eastAsia"/>
          <w:sz w:val="28"/>
          <w:szCs w:val="28"/>
        </w:rPr>
        <w:t>万元，其他支出5</w:t>
      </w:r>
      <w:r>
        <w:rPr>
          <w:sz w:val="28"/>
          <w:szCs w:val="28"/>
        </w:rPr>
        <w:t>.62</w:t>
      </w:r>
      <w:r>
        <w:rPr>
          <w:rFonts w:hint="eastAsia"/>
          <w:sz w:val="28"/>
          <w:szCs w:val="28"/>
        </w:rPr>
        <w:t>万元。按支出性质与经济分类其构成为基本支出3</w:t>
      </w:r>
      <w:r>
        <w:rPr>
          <w:sz w:val="28"/>
          <w:szCs w:val="28"/>
        </w:rPr>
        <w:t>47.85</w:t>
      </w:r>
      <w:r>
        <w:rPr>
          <w:rFonts w:hint="eastAsia"/>
          <w:sz w:val="28"/>
          <w:szCs w:val="28"/>
        </w:rPr>
        <w:t>万元（其中人员经费3</w:t>
      </w:r>
      <w:r>
        <w:rPr>
          <w:sz w:val="28"/>
          <w:szCs w:val="28"/>
        </w:rPr>
        <w:t>17.26</w:t>
      </w:r>
      <w:r>
        <w:rPr>
          <w:rFonts w:hint="eastAsia"/>
          <w:sz w:val="28"/>
          <w:szCs w:val="28"/>
        </w:rPr>
        <w:t>万元，公用经费3</w:t>
      </w:r>
      <w:r>
        <w:rPr>
          <w:sz w:val="28"/>
          <w:szCs w:val="28"/>
        </w:rPr>
        <w:t>0.59</w:t>
      </w:r>
      <w:r>
        <w:rPr>
          <w:rFonts w:hint="eastAsia"/>
          <w:sz w:val="28"/>
          <w:szCs w:val="28"/>
        </w:rPr>
        <w:t>万元），项目支出</w:t>
      </w:r>
      <w:r>
        <w:rPr>
          <w:sz w:val="28"/>
          <w:szCs w:val="28"/>
        </w:rPr>
        <w:t>579</w:t>
      </w:r>
      <w:r>
        <w:rPr>
          <w:rFonts w:hint="eastAsia"/>
          <w:sz w:val="28"/>
          <w:szCs w:val="28"/>
        </w:rPr>
        <w:t>万元。基本支出中工资福利支出</w:t>
      </w:r>
      <w:r>
        <w:rPr>
          <w:sz w:val="28"/>
          <w:szCs w:val="28"/>
        </w:rPr>
        <w:t>224.77</w:t>
      </w:r>
      <w:r>
        <w:rPr>
          <w:rFonts w:hint="eastAsia"/>
          <w:sz w:val="28"/>
          <w:szCs w:val="28"/>
        </w:rPr>
        <w:t>万元，商品与服务支出</w:t>
      </w:r>
      <w:r>
        <w:rPr>
          <w:sz w:val="28"/>
          <w:szCs w:val="28"/>
        </w:rPr>
        <w:t>30.59</w:t>
      </w:r>
      <w:r>
        <w:rPr>
          <w:rFonts w:hint="eastAsia"/>
          <w:sz w:val="28"/>
          <w:szCs w:val="28"/>
        </w:rPr>
        <w:t>万元，对个人和家庭补助支出</w:t>
      </w:r>
      <w:r>
        <w:rPr>
          <w:sz w:val="28"/>
          <w:szCs w:val="28"/>
        </w:rPr>
        <w:t>92.48</w:t>
      </w:r>
      <w:r>
        <w:rPr>
          <w:rFonts w:hint="eastAsia"/>
          <w:sz w:val="28"/>
          <w:szCs w:val="28"/>
        </w:rPr>
        <w:t>万元.整体支出相比年初预算支出增加4</w:t>
      </w:r>
      <w:r>
        <w:rPr>
          <w:sz w:val="28"/>
          <w:szCs w:val="28"/>
        </w:rPr>
        <w:t>83.75</w:t>
      </w:r>
      <w:r>
        <w:rPr>
          <w:rFonts w:hint="eastAsia"/>
          <w:sz w:val="28"/>
          <w:szCs w:val="28"/>
        </w:rPr>
        <w:t>万元，年初预算完成率为2</w:t>
      </w:r>
      <w:r>
        <w:rPr>
          <w:sz w:val="28"/>
          <w:szCs w:val="28"/>
        </w:rPr>
        <w:t>09%</w:t>
      </w:r>
      <w:r>
        <w:rPr>
          <w:rFonts w:hint="eastAsia"/>
          <w:sz w:val="28"/>
          <w:szCs w:val="28"/>
        </w:rPr>
        <w:t>。</w:t>
      </w:r>
    </w:p>
    <w:p>
      <w:pPr>
        <w:ind w:firstLine="560" w:firstLineChars="200"/>
        <w:rPr>
          <w:rFonts w:hint="eastAsia"/>
          <w:b/>
          <w:bCs/>
          <w:sz w:val="28"/>
          <w:szCs w:val="28"/>
        </w:rPr>
      </w:pPr>
      <w:r>
        <w:rPr>
          <w:rFonts w:hint="eastAsia"/>
          <w:sz w:val="28"/>
          <w:szCs w:val="28"/>
        </w:rPr>
        <w:t>2</w:t>
      </w:r>
      <w:r>
        <w:rPr>
          <w:sz w:val="28"/>
          <w:szCs w:val="28"/>
        </w:rPr>
        <w:t>021</w:t>
      </w:r>
      <w:r>
        <w:rPr>
          <w:rFonts w:hint="eastAsia"/>
          <w:sz w:val="28"/>
          <w:szCs w:val="28"/>
        </w:rPr>
        <w:t>年全年收支平衡，无结转结余。</w:t>
      </w:r>
    </w:p>
    <w:p>
      <w:pPr>
        <w:ind w:left="280"/>
        <w:rPr>
          <w:sz w:val="28"/>
          <w:szCs w:val="28"/>
        </w:rPr>
      </w:pPr>
      <w:r>
        <w:rPr>
          <w:rFonts w:hint="eastAsia"/>
          <w:sz w:val="28"/>
          <w:szCs w:val="28"/>
        </w:rPr>
        <w:t>二</w:t>
      </w:r>
      <w:r>
        <w:rPr>
          <w:rFonts w:hint="eastAsia"/>
          <w:sz w:val="28"/>
          <w:szCs w:val="28"/>
          <w:lang w:eastAsia="zh-CN"/>
        </w:rPr>
        <w:t>、</w:t>
      </w:r>
      <w:r>
        <w:rPr>
          <w:rFonts w:hint="eastAsia"/>
          <w:sz w:val="28"/>
          <w:szCs w:val="28"/>
        </w:rPr>
        <w:t>部门整体支出绩效目标</w:t>
      </w:r>
    </w:p>
    <w:p>
      <w:pPr>
        <w:ind w:left="280" w:firstLine="563"/>
        <w:rPr>
          <w:sz w:val="28"/>
          <w:szCs w:val="28"/>
        </w:rPr>
      </w:pPr>
      <w:r>
        <w:rPr>
          <w:rFonts w:hint="eastAsia"/>
          <w:sz w:val="28"/>
          <w:szCs w:val="28"/>
        </w:rPr>
        <w:t>预决算公开：按照上级财政要求，2</w:t>
      </w:r>
      <w:r>
        <w:rPr>
          <w:sz w:val="28"/>
          <w:szCs w:val="28"/>
        </w:rPr>
        <w:t>021</w:t>
      </w:r>
      <w:r>
        <w:rPr>
          <w:rFonts w:hint="eastAsia"/>
          <w:sz w:val="28"/>
          <w:szCs w:val="28"/>
        </w:rPr>
        <w:t>年我中心在政府网站上进行了预决算公开。</w:t>
      </w:r>
    </w:p>
    <w:p>
      <w:pPr>
        <w:ind w:left="280" w:firstLine="563"/>
        <w:rPr>
          <w:sz w:val="28"/>
          <w:szCs w:val="28"/>
        </w:rPr>
      </w:pPr>
      <w:r>
        <w:rPr>
          <w:rFonts w:hint="eastAsia"/>
          <w:sz w:val="28"/>
          <w:szCs w:val="28"/>
        </w:rPr>
        <w:t>资产管理：我中心为更好地加强资产管理，制定了《益阳奥林匹克公园管理中心政府采购内部控制制度》等一系列管理制度，资产管理安全性和准确性逐步提高，统一在行政事业单位资产管理平台上录入信息，编制固定资产台账，明确资产管理责任人，完善了固定资产档案，严格按照国有资产管理相关法律、法规进行资产管理、处置申报程序及手续，做好资产登记、入账工作，保证单位资产无流质、做到账账相符、账实相符。</w:t>
      </w:r>
    </w:p>
    <w:p>
      <w:pPr>
        <w:ind w:left="280" w:firstLine="563"/>
        <w:rPr>
          <w:sz w:val="28"/>
          <w:szCs w:val="28"/>
        </w:rPr>
      </w:pPr>
      <w:r>
        <w:rPr>
          <w:rFonts w:hint="eastAsia"/>
          <w:sz w:val="28"/>
          <w:szCs w:val="28"/>
        </w:rPr>
        <w:t>“三公”经费控制：中心贯彻落实上级有关厉行节约、压缩开支号召，严格控制“三公”经费开支。上年年初预算安排2万元，实际开支0</w:t>
      </w:r>
      <w:r>
        <w:rPr>
          <w:sz w:val="28"/>
          <w:szCs w:val="28"/>
        </w:rPr>
        <w:t>.28</w:t>
      </w:r>
      <w:r>
        <w:rPr>
          <w:rFonts w:hint="eastAsia"/>
          <w:sz w:val="28"/>
          <w:szCs w:val="28"/>
        </w:rPr>
        <w:t>万元，今年年初预算安排1</w:t>
      </w:r>
      <w:r>
        <w:rPr>
          <w:sz w:val="28"/>
          <w:szCs w:val="28"/>
        </w:rPr>
        <w:t>.8</w:t>
      </w:r>
      <w:r>
        <w:rPr>
          <w:rFonts w:hint="eastAsia"/>
          <w:sz w:val="28"/>
          <w:szCs w:val="28"/>
        </w:rPr>
        <w:t>万元，实际开支0万元。</w:t>
      </w:r>
    </w:p>
    <w:p>
      <w:pPr>
        <w:ind w:left="280" w:firstLine="563"/>
        <w:rPr>
          <w:sz w:val="28"/>
          <w:szCs w:val="28"/>
        </w:rPr>
      </w:pPr>
      <w:r>
        <w:rPr>
          <w:rFonts w:hint="eastAsia"/>
          <w:sz w:val="28"/>
          <w:szCs w:val="28"/>
        </w:rPr>
        <w:t>内部管理制度建设情况：近年来，我中心制定了一系列内部控制管理制度，如财务管理工作方面，严格执行各项有关法律法规、财经纪律、各项规章制度的同时，结合单位内部自身情况制定相关财务制度。认真抓好内部联审会签程度，将管理与监督落到实处。并认真部署，配合接受各级相关部门的检查及审计，做到公开公平公正支出。</w:t>
      </w:r>
    </w:p>
    <w:p>
      <w:pPr>
        <w:ind w:left="280" w:firstLine="563"/>
        <w:rPr>
          <w:sz w:val="28"/>
          <w:szCs w:val="28"/>
        </w:rPr>
      </w:pPr>
      <w:r>
        <w:rPr>
          <w:rFonts w:hint="eastAsia"/>
          <w:sz w:val="28"/>
          <w:szCs w:val="28"/>
        </w:rPr>
        <w:t>项目绩效目标：目标</w:t>
      </w:r>
      <w:r>
        <w:rPr>
          <w:sz w:val="28"/>
          <w:szCs w:val="28"/>
        </w:rPr>
        <w:t>1</w:t>
      </w:r>
      <w:r>
        <w:rPr>
          <w:rFonts w:hint="eastAsia"/>
          <w:sz w:val="28"/>
          <w:szCs w:val="28"/>
        </w:rPr>
        <w:t>根据公园实际情况，新建篮球场、门球场为满足广大健身市民日益增长的需求；为保障和实施全民健身计划，推动城乡居民健身活动的开展，对健身器械维护、更换、翻新，保障市民健身安全与质量；作为体育型公园，力争创建深受益阳人民青睐的优质游园。 目标2公园整体亮化提质改造、对比清溪村，打造城市中心休闲健身高地，创造“宜游、宜赏、宜玩”的公园；安装公园智慧管理（包括智慧安防系统）系统，开展景区遥感监测数据的网络传输，为国家级景区监管业务提供可靠、高效的信息传输渠道，更好满足广大市民日益增长的高质量要求。目标3为保证公园小维小修、免低补贴、体质检测工作、4</w:t>
      </w:r>
      <w:r>
        <w:rPr>
          <w:sz w:val="28"/>
          <w:szCs w:val="28"/>
        </w:rPr>
        <w:t>A</w:t>
      </w:r>
      <w:r>
        <w:rPr>
          <w:rFonts w:hint="eastAsia"/>
          <w:sz w:val="28"/>
          <w:szCs w:val="28"/>
        </w:rPr>
        <w:t>景区保牌工作、创文创卫宣传、安全生产等日常工作的顺利开展，全方位彰显公园的多功能、优质特性，打造一个集休闲、娱乐、健身于一体的精神文明窗口。</w:t>
      </w:r>
    </w:p>
    <w:p>
      <w:pPr>
        <w:ind w:firstLine="840" w:firstLineChars="300"/>
        <w:rPr>
          <w:rFonts w:hint="eastAsia"/>
          <w:sz w:val="28"/>
          <w:szCs w:val="28"/>
        </w:rPr>
      </w:pPr>
      <w:r>
        <w:rPr>
          <w:rFonts w:hint="eastAsia"/>
          <w:sz w:val="28"/>
          <w:szCs w:val="28"/>
        </w:rPr>
        <w:t>三</w:t>
      </w:r>
      <w:r>
        <w:rPr>
          <w:rFonts w:hint="eastAsia"/>
          <w:sz w:val="28"/>
          <w:szCs w:val="28"/>
          <w:lang w:eastAsia="zh-CN"/>
        </w:rPr>
        <w:t>、</w:t>
      </w:r>
      <w:r>
        <w:rPr>
          <w:rFonts w:hint="eastAsia"/>
          <w:sz w:val="28"/>
          <w:szCs w:val="28"/>
        </w:rPr>
        <w:t>部门整体支出实施情况分析</w:t>
      </w:r>
    </w:p>
    <w:p>
      <w:pPr>
        <w:ind w:left="280" w:firstLine="563"/>
        <w:rPr>
          <w:sz w:val="28"/>
          <w:szCs w:val="28"/>
        </w:rPr>
      </w:pPr>
      <w:r>
        <w:rPr>
          <w:rFonts w:hint="eastAsia"/>
          <w:sz w:val="28"/>
          <w:szCs w:val="28"/>
        </w:rPr>
        <w:t>从整体情况来看，中心在部门整体支出中，严格按照年初预算安排，坚持“无预算，不支出；有预算，严格按预算支出”的原则，以及“细化预算和提前编制预算”原则，严格遵守资金管理制度，强化监督，专款专用，确保各项资金及时到位，无截留、挪用等现象。健全和完善管理制度，加强基本支出管理。严格审批程序，严格执行国家规定的开支范围及开支标准，量入为出，坚持联审会签制度，加强监督。严格报账程序，实行国库集中支付制度，严格完善相关资料手续、审核审批程序，保证了各项资金使用的合理合规，充分发挥了各项资金的使用效益。</w:t>
      </w:r>
      <w:r>
        <w:rPr>
          <w:sz w:val="28"/>
          <w:szCs w:val="28"/>
        </w:rPr>
        <w:t> </w:t>
      </w:r>
    </w:p>
    <w:p>
      <w:pPr>
        <w:ind w:firstLine="640" w:firstLineChars="200"/>
        <w:jc w:val="left"/>
        <w:rPr>
          <w:rFonts w:ascii="宋体" w:hAnsi="宋体" w:cs="黑体"/>
          <w:color w:val="000000"/>
          <w:kern w:val="0"/>
          <w:sz w:val="32"/>
          <w:szCs w:val="32"/>
        </w:rPr>
      </w:pP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00818"/>
    <w:rsid w:val="00B33BEA"/>
    <w:rsid w:val="00B5273A"/>
    <w:rsid w:val="00B57C9F"/>
    <w:rsid w:val="00B63572"/>
    <w:rsid w:val="00B845B3"/>
    <w:rsid w:val="00B85D8B"/>
    <w:rsid w:val="00BB4A40"/>
    <w:rsid w:val="00BD6C3E"/>
    <w:rsid w:val="00BE3674"/>
    <w:rsid w:val="00C10681"/>
    <w:rsid w:val="00C3049A"/>
    <w:rsid w:val="00C31B1E"/>
    <w:rsid w:val="00C77645"/>
    <w:rsid w:val="00CD6415"/>
    <w:rsid w:val="00CE04C3"/>
    <w:rsid w:val="00CE76A0"/>
    <w:rsid w:val="00D148C6"/>
    <w:rsid w:val="00D17A8A"/>
    <w:rsid w:val="00D415BA"/>
    <w:rsid w:val="00D63780"/>
    <w:rsid w:val="00D644EE"/>
    <w:rsid w:val="00D75489"/>
    <w:rsid w:val="00DD06FF"/>
    <w:rsid w:val="00DD5FE9"/>
    <w:rsid w:val="00E00C7A"/>
    <w:rsid w:val="00E209CF"/>
    <w:rsid w:val="00E22FB2"/>
    <w:rsid w:val="00E37D6C"/>
    <w:rsid w:val="00E55B68"/>
    <w:rsid w:val="00E67BE6"/>
    <w:rsid w:val="00E8683C"/>
    <w:rsid w:val="00EA2B72"/>
    <w:rsid w:val="00F74360"/>
    <w:rsid w:val="00FB462F"/>
    <w:rsid w:val="00FE16FA"/>
    <w:rsid w:val="00FE328A"/>
    <w:rsid w:val="00FE6269"/>
    <w:rsid w:val="00FF5CD6"/>
    <w:rsid w:val="01660944"/>
    <w:rsid w:val="01FB7E4C"/>
    <w:rsid w:val="028B0745"/>
    <w:rsid w:val="02A96B20"/>
    <w:rsid w:val="03786CFB"/>
    <w:rsid w:val="03D07AB2"/>
    <w:rsid w:val="04360B71"/>
    <w:rsid w:val="049404D4"/>
    <w:rsid w:val="050D4794"/>
    <w:rsid w:val="05A3626A"/>
    <w:rsid w:val="05A66AC0"/>
    <w:rsid w:val="05D168AB"/>
    <w:rsid w:val="063C293F"/>
    <w:rsid w:val="070E5090"/>
    <w:rsid w:val="07462326"/>
    <w:rsid w:val="080B2AE5"/>
    <w:rsid w:val="097E1856"/>
    <w:rsid w:val="09FC7740"/>
    <w:rsid w:val="0B52692E"/>
    <w:rsid w:val="0CDF4D1D"/>
    <w:rsid w:val="0E330F9D"/>
    <w:rsid w:val="0E5E0B9F"/>
    <w:rsid w:val="0EC75BAA"/>
    <w:rsid w:val="0F8903B9"/>
    <w:rsid w:val="0FE84FEC"/>
    <w:rsid w:val="0FFA1345"/>
    <w:rsid w:val="109014DE"/>
    <w:rsid w:val="109B1E61"/>
    <w:rsid w:val="10ED1BB1"/>
    <w:rsid w:val="111972EE"/>
    <w:rsid w:val="11952539"/>
    <w:rsid w:val="123A68C4"/>
    <w:rsid w:val="12B96D8A"/>
    <w:rsid w:val="13B02306"/>
    <w:rsid w:val="14764281"/>
    <w:rsid w:val="14BE65B2"/>
    <w:rsid w:val="14F455E8"/>
    <w:rsid w:val="15D11BB8"/>
    <w:rsid w:val="15D2115C"/>
    <w:rsid w:val="1676015C"/>
    <w:rsid w:val="16925110"/>
    <w:rsid w:val="172018D3"/>
    <w:rsid w:val="17227C9B"/>
    <w:rsid w:val="185357F9"/>
    <w:rsid w:val="18ED08F2"/>
    <w:rsid w:val="1A0A7050"/>
    <w:rsid w:val="1A163066"/>
    <w:rsid w:val="1A1B6C5F"/>
    <w:rsid w:val="1A246450"/>
    <w:rsid w:val="1A5421A2"/>
    <w:rsid w:val="1B03694D"/>
    <w:rsid w:val="1B8B5470"/>
    <w:rsid w:val="1BCA4162"/>
    <w:rsid w:val="1C867055"/>
    <w:rsid w:val="1D272952"/>
    <w:rsid w:val="1DE8145F"/>
    <w:rsid w:val="1E3A4F3D"/>
    <w:rsid w:val="1EDC1B1C"/>
    <w:rsid w:val="1F1C1C70"/>
    <w:rsid w:val="1F6F483F"/>
    <w:rsid w:val="1FEF6ADB"/>
    <w:rsid w:val="21AE2829"/>
    <w:rsid w:val="21CB6291"/>
    <w:rsid w:val="21DD3533"/>
    <w:rsid w:val="224C386B"/>
    <w:rsid w:val="23077BE8"/>
    <w:rsid w:val="23B61D40"/>
    <w:rsid w:val="23E9177E"/>
    <w:rsid w:val="2405353B"/>
    <w:rsid w:val="24334732"/>
    <w:rsid w:val="24536097"/>
    <w:rsid w:val="249E0C20"/>
    <w:rsid w:val="25352870"/>
    <w:rsid w:val="25650DDC"/>
    <w:rsid w:val="2630671D"/>
    <w:rsid w:val="269A5877"/>
    <w:rsid w:val="26D40771"/>
    <w:rsid w:val="275D7001"/>
    <w:rsid w:val="27BB7BA0"/>
    <w:rsid w:val="29AB5824"/>
    <w:rsid w:val="2A6F7B7A"/>
    <w:rsid w:val="2B8A2F66"/>
    <w:rsid w:val="2BF212C2"/>
    <w:rsid w:val="2BFF2119"/>
    <w:rsid w:val="2C595D95"/>
    <w:rsid w:val="2CB0098A"/>
    <w:rsid w:val="2D7D55D6"/>
    <w:rsid w:val="2EA3394C"/>
    <w:rsid w:val="2EFA1805"/>
    <w:rsid w:val="2F122AC6"/>
    <w:rsid w:val="2F977C15"/>
    <w:rsid w:val="300056F7"/>
    <w:rsid w:val="30595AE6"/>
    <w:rsid w:val="30CB6046"/>
    <w:rsid w:val="31A850EB"/>
    <w:rsid w:val="323B27A5"/>
    <w:rsid w:val="338F0415"/>
    <w:rsid w:val="346A2D57"/>
    <w:rsid w:val="349C3EA9"/>
    <w:rsid w:val="35732928"/>
    <w:rsid w:val="3596326B"/>
    <w:rsid w:val="35A55231"/>
    <w:rsid w:val="35F25A74"/>
    <w:rsid w:val="37285713"/>
    <w:rsid w:val="3904054D"/>
    <w:rsid w:val="39142934"/>
    <w:rsid w:val="394876D2"/>
    <w:rsid w:val="39875344"/>
    <w:rsid w:val="39AC4EB3"/>
    <w:rsid w:val="3A9303C7"/>
    <w:rsid w:val="3AC30F2B"/>
    <w:rsid w:val="3B734EB5"/>
    <w:rsid w:val="3BAB5C99"/>
    <w:rsid w:val="3BE240E9"/>
    <w:rsid w:val="3C31301C"/>
    <w:rsid w:val="3D9D5113"/>
    <w:rsid w:val="3DA40FFD"/>
    <w:rsid w:val="3EC62B88"/>
    <w:rsid w:val="3EF447B4"/>
    <w:rsid w:val="419C2CED"/>
    <w:rsid w:val="41DF4C36"/>
    <w:rsid w:val="425C4418"/>
    <w:rsid w:val="42CB674B"/>
    <w:rsid w:val="43202726"/>
    <w:rsid w:val="433940FB"/>
    <w:rsid w:val="43CC7A0A"/>
    <w:rsid w:val="43DA5E88"/>
    <w:rsid w:val="442B6699"/>
    <w:rsid w:val="44C46949"/>
    <w:rsid w:val="44C86F37"/>
    <w:rsid w:val="458D07A2"/>
    <w:rsid w:val="45B23704"/>
    <w:rsid w:val="460F4AB6"/>
    <w:rsid w:val="47F150F4"/>
    <w:rsid w:val="4957487C"/>
    <w:rsid w:val="499575EF"/>
    <w:rsid w:val="49B7091E"/>
    <w:rsid w:val="49FE34E9"/>
    <w:rsid w:val="4A1669D5"/>
    <w:rsid w:val="4ADB5307"/>
    <w:rsid w:val="4BE248C5"/>
    <w:rsid w:val="4C701A49"/>
    <w:rsid w:val="4D133B09"/>
    <w:rsid w:val="4EA44C9F"/>
    <w:rsid w:val="504A6B3E"/>
    <w:rsid w:val="507B5648"/>
    <w:rsid w:val="508070CC"/>
    <w:rsid w:val="514B7E04"/>
    <w:rsid w:val="515771FE"/>
    <w:rsid w:val="51682424"/>
    <w:rsid w:val="52A34EC0"/>
    <w:rsid w:val="52C72F3C"/>
    <w:rsid w:val="52DD0BFC"/>
    <w:rsid w:val="537603D7"/>
    <w:rsid w:val="537F0D90"/>
    <w:rsid w:val="54AA62F9"/>
    <w:rsid w:val="550835E7"/>
    <w:rsid w:val="565656B1"/>
    <w:rsid w:val="56B4104E"/>
    <w:rsid w:val="597B667B"/>
    <w:rsid w:val="59B17DB4"/>
    <w:rsid w:val="59DC5C8A"/>
    <w:rsid w:val="5A9C57B1"/>
    <w:rsid w:val="5AFE2F77"/>
    <w:rsid w:val="5BC27904"/>
    <w:rsid w:val="5BCF0A9F"/>
    <w:rsid w:val="5CD709AE"/>
    <w:rsid w:val="5D5A2E9D"/>
    <w:rsid w:val="5D701CEC"/>
    <w:rsid w:val="5D7A3D27"/>
    <w:rsid w:val="5E4C0EDC"/>
    <w:rsid w:val="5E774F2D"/>
    <w:rsid w:val="5EE84B75"/>
    <w:rsid w:val="5FA56CA5"/>
    <w:rsid w:val="61034E4F"/>
    <w:rsid w:val="61085962"/>
    <w:rsid w:val="61A1413C"/>
    <w:rsid w:val="61EB193E"/>
    <w:rsid w:val="63330A8F"/>
    <w:rsid w:val="651C659A"/>
    <w:rsid w:val="65555212"/>
    <w:rsid w:val="65580054"/>
    <w:rsid w:val="672E259E"/>
    <w:rsid w:val="674121D9"/>
    <w:rsid w:val="67773736"/>
    <w:rsid w:val="67B10B52"/>
    <w:rsid w:val="67C279C8"/>
    <w:rsid w:val="68883717"/>
    <w:rsid w:val="68DC3FD2"/>
    <w:rsid w:val="68E36C97"/>
    <w:rsid w:val="68EE55E1"/>
    <w:rsid w:val="68FE47E6"/>
    <w:rsid w:val="69262A64"/>
    <w:rsid w:val="695D19BB"/>
    <w:rsid w:val="6988405C"/>
    <w:rsid w:val="6A30163B"/>
    <w:rsid w:val="6B7657ED"/>
    <w:rsid w:val="6B870617"/>
    <w:rsid w:val="6C0D6FF3"/>
    <w:rsid w:val="6CE93F71"/>
    <w:rsid w:val="6D7A6E2B"/>
    <w:rsid w:val="6D9144DF"/>
    <w:rsid w:val="6E1B6744"/>
    <w:rsid w:val="6EA2083D"/>
    <w:rsid w:val="6EA32279"/>
    <w:rsid w:val="6F5A69E2"/>
    <w:rsid w:val="6FF852D2"/>
    <w:rsid w:val="70CE4BF7"/>
    <w:rsid w:val="71035910"/>
    <w:rsid w:val="716D1065"/>
    <w:rsid w:val="71E86C81"/>
    <w:rsid w:val="71F957EA"/>
    <w:rsid w:val="72642326"/>
    <w:rsid w:val="731F0124"/>
    <w:rsid w:val="737B596F"/>
    <w:rsid w:val="73A13A4F"/>
    <w:rsid w:val="750D218D"/>
    <w:rsid w:val="75DE0682"/>
    <w:rsid w:val="761B24A0"/>
    <w:rsid w:val="76370A8D"/>
    <w:rsid w:val="76550699"/>
    <w:rsid w:val="76B56B39"/>
    <w:rsid w:val="770F54F4"/>
    <w:rsid w:val="772176C2"/>
    <w:rsid w:val="7803238B"/>
    <w:rsid w:val="782A3C49"/>
    <w:rsid w:val="785722F0"/>
    <w:rsid w:val="78AC58D5"/>
    <w:rsid w:val="7B794543"/>
    <w:rsid w:val="7BED08EC"/>
    <w:rsid w:val="7BFF5276"/>
    <w:rsid w:val="7C556DF0"/>
    <w:rsid w:val="7CC61520"/>
    <w:rsid w:val="7CCE7143"/>
    <w:rsid w:val="7DCC48E8"/>
    <w:rsid w:val="7DFF58A2"/>
    <w:rsid w:val="7FA161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rPr>
      <w:rFonts w:ascii="Times New Roman" w:hAnsi="Times New Roman" w:eastAsia="宋体" w:cs="Times New Roman"/>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批注框文本 Char"/>
    <w:basedOn w:val="9"/>
    <w:link w:val="3"/>
    <w:semiHidden/>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页眉 Char"/>
    <w:basedOn w:val="9"/>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8000</Words>
  <Characters>8713</Characters>
  <Lines>69</Lines>
  <Paragraphs>19</Paragraphs>
  <TotalTime>4</TotalTime>
  <ScaleCrop>false</ScaleCrop>
  <LinksUpToDate>false</LinksUpToDate>
  <CharactersWithSpaces>8738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29929</cp:lastModifiedBy>
  <cp:lastPrinted>2022-07-27T12:55:00Z</cp:lastPrinted>
  <dcterms:modified xsi:type="dcterms:W3CDTF">2023-10-08T09:03:32Z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F719D65F84994DDFAEA2597C9235DFA7_13</vt:lpwstr>
  </property>
</Properties>
</file>