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组工局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hint="default" w:cs="仿宋_GB2312" w:asciiTheme="minorEastAsia" w:hAnsiTheme="minorEastAsia" w:eastAsiaTheme="minorEastAsia"/>
          <w:sz w:val="28"/>
          <w:szCs w:val="28"/>
          <w:lang w:val="en-US"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val="en-US" w:eastAsia="zh-CN"/>
        </w:rPr>
        <w:t>及决算单位构成</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组工局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napToGrid/>
        <w:spacing w:line="600" w:lineRule="exact"/>
        <w:ind w:firstLine="960" w:firstLineChars="300"/>
        <w:rPr>
          <w:rFonts w:hint="default" w:ascii="宋体" w:hAnsi="宋体" w:eastAsia="宋体"/>
          <w:bCs/>
          <w:kern w:val="0"/>
          <w:sz w:val="32"/>
          <w:szCs w:val="32"/>
        </w:rPr>
      </w:pPr>
      <w:r>
        <w:rPr>
          <w:rFonts w:ascii="宋体" w:hAnsi="宋体"/>
          <w:bCs/>
          <w:kern w:val="0"/>
          <w:sz w:val="32"/>
          <w:szCs w:val="32"/>
        </w:rPr>
        <w:t>负责全区党建、党组织和党员队伍管理、党务公开等工作；负责全区人事调配、人才引进、专业技术职称评聘申报、工资福利、老干部服务和未成年人管理、社会保险、干部教育培训、退役军人安置等工作；负责机构设置的调研工作，科学拟订部门职责和岗位职责；按照干部管理权限，负责工委管理干部的考察、公示、任免和考核、奖惩等工作；负责全区工会、共青团、妇联、民族宗教、工商联、侨联等工作；承担统战、人大政协联络等日常管理工作；负责全区绩效评估工作。</w:t>
      </w:r>
    </w:p>
    <w:p>
      <w:pPr>
        <w:ind w:firstLine="800" w:firstLineChars="250"/>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20" w:lineRule="exact"/>
        <w:ind w:firstLine="640" w:firstLineChars="200"/>
        <w:rPr>
          <w:rFonts w:hint="eastAsia" w:ascii="仿宋_GB2312" w:hAnsi="仿宋" w:eastAsia="仿宋_GB2312"/>
          <w:b/>
          <w:bCs/>
          <w:sz w:val="32"/>
          <w:szCs w:val="32"/>
        </w:rPr>
      </w:pPr>
      <w:r>
        <w:rPr>
          <w:rFonts w:hint="eastAsia" w:asciiTheme="minorEastAsia" w:hAnsiTheme="minorEastAsia"/>
          <w:bCs/>
          <w:kern w:val="0"/>
          <w:sz w:val="32"/>
          <w:szCs w:val="32"/>
        </w:rPr>
        <w:t>（一）内设机构设置</w:t>
      </w:r>
      <w:r>
        <w:rPr>
          <w:rFonts w:hint="eastAsia" w:ascii="宋体" w:hAnsi="宋体"/>
          <w:bCs/>
          <w:kern w:val="0"/>
          <w:sz w:val="32"/>
          <w:szCs w:val="32"/>
        </w:rPr>
        <w:t>设局长一名（副处级）、副局长2名（正科级）、中共益阳高新区非公有制经济组织和社会组织委员会专职副书记1名（正科级）。按章程设置工会、妇联、共青团组织，主要负责人由益阳高新区党工委、管委会内设机构副职担任，各设1名专职副职（均为副科级）。设党建科、干部科、民族宗教科，均为副科级。</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组工局</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组工局</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hint="eastAsia" w:asciiTheme="minorEastAsia" w:hAnsiTheme="minorEastAsia" w:eastAsiaTheme="minorEastAsia"/>
          <w:sz w:val="32"/>
          <w:szCs w:val="32"/>
          <w:lang w:eastAsia="zh-CN"/>
        </w:rPr>
        <w:sectPr>
          <w:pgSz w:w="11906" w:h="16838"/>
          <w:pgMar w:top="720" w:right="720" w:bottom="720" w:left="720" w:header="851" w:footer="992" w:gutter="0"/>
          <w:cols w:space="425" w:num="1"/>
          <w:docGrid w:type="lines" w:linePitch="312" w:charSpace="0"/>
        </w:sectPr>
      </w:pPr>
    </w:p>
    <w:p>
      <w:pPr>
        <w:jc w:val="center"/>
        <w:rPr>
          <w:rFonts w:hint="eastAsia" w:ascii="黑体" w:hAnsi="黑体" w:eastAsia="黑体"/>
          <w:sz w:val="28"/>
          <w:szCs w:val="28"/>
          <w:lang w:eastAsia="zh-CN"/>
        </w:rPr>
        <w:sectPr>
          <w:pgSz w:w="16838" w:h="11906" w:orient="landscape"/>
          <w:pgMar w:top="1797" w:right="1440" w:bottom="1797" w:left="1440" w:header="851" w:footer="992" w:gutter="0"/>
          <w:cols w:space="425" w:num="1"/>
          <w:docGrid w:type="linesAndChars" w:linePitch="312" w:charSpace="0"/>
        </w:sectPr>
      </w:pPr>
      <w:r>
        <w:rPr>
          <w:rFonts w:hint="eastAsia" w:ascii="黑体" w:hAnsi="黑体" w:eastAsia="黑体"/>
          <w:sz w:val="28"/>
          <w:szCs w:val="28"/>
          <w:lang w:eastAsia="zh-CN"/>
        </w:rPr>
        <w:drawing>
          <wp:inline distT="0" distB="0" distL="114300" distR="114300">
            <wp:extent cx="7780020" cy="5274310"/>
            <wp:effectExtent l="0" t="0" r="11430" b="254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4"/>
                    <a:stretch>
                      <a:fillRect/>
                    </a:stretch>
                  </pic:blipFill>
                  <pic:spPr>
                    <a:xfrm>
                      <a:off x="0" y="0"/>
                      <a:ext cx="7780020" cy="5274310"/>
                    </a:xfrm>
                    <a:prstGeom prst="rect">
                      <a:avLst/>
                    </a:prstGeom>
                  </pic:spPr>
                </pic:pic>
              </a:graphicData>
            </a:graphic>
          </wp:inline>
        </w:drawing>
      </w:r>
    </w:p>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drawing>
          <wp:inline distT="0" distB="0" distL="114300" distR="114300">
            <wp:extent cx="8679180" cy="6637655"/>
            <wp:effectExtent l="0" t="0" r="7620" b="1079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5"/>
                    <a:stretch>
                      <a:fillRect/>
                    </a:stretch>
                  </pic:blipFill>
                  <pic:spPr>
                    <a:xfrm>
                      <a:off x="0" y="0"/>
                      <a:ext cx="8679180" cy="6637655"/>
                    </a:xfrm>
                    <a:prstGeom prst="rect">
                      <a:avLst/>
                    </a:prstGeom>
                  </pic:spPr>
                </pic:pic>
              </a:graphicData>
            </a:graphic>
          </wp:inline>
        </w:drawing>
      </w:r>
      <w:r>
        <w:rPr>
          <w:rFonts w:ascii="Times New Roman" w:hAnsi="Times New Roman" w:eastAsia="黑体" w:cs="Times New Roman"/>
          <w:bCs/>
          <w:kern w:val="0"/>
          <w:sz w:val="32"/>
          <w:szCs w:val="32"/>
        </w:rPr>
        <w:br w:type="page"/>
      </w:r>
    </w:p>
    <w:p>
      <w:pPr>
        <w:widowControl/>
        <w:ind w:left="93"/>
        <w:jc w:val="center"/>
        <w:rPr>
          <w:rFonts w:ascii="Times New Roman" w:hAnsi="Times New Roman" w:eastAsia="方正小标宋_GBK" w:cs="Times New Roman"/>
          <w:color w:val="000000"/>
          <w:kern w:val="0"/>
          <w:sz w:val="36"/>
          <w:szCs w:val="21"/>
        </w:rPr>
      </w:pPr>
      <w:r>
        <w:rPr>
          <w:rFonts w:hint="eastAsia" w:ascii="Times New Roman" w:hAnsi="Times New Roman" w:eastAsia="方正小标宋_GBK" w:cs="Times New Roman"/>
          <w:color w:val="000000"/>
          <w:kern w:val="0"/>
          <w:sz w:val="36"/>
          <w:szCs w:val="21"/>
          <w:lang w:eastAsia="zh-CN"/>
        </w:rPr>
        <w:drawing>
          <wp:inline distT="0" distB="0" distL="114300" distR="114300">
            <wp:extent cx="8679180" cy="6637655"/>
            <wp:effectExtent l="0" t="0" r="7620" b="1079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6"/>
                    <a:stretch>
                      <a:fillRect/>
                    </a:stretch>
                  </pic:blipFill>
                  <pic:spPr>
                    <a:xfrm>
                      <a:off x="0" y="0"/>
                      <a:ext cx="8679180" cy="6637655"/>
                    </a:xfrm>
                    <a:prstGeom prst="rect">
                      <a:avLst/>
                    </a:prstGeom>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bookmarkStart w:id="0" w:name="RANGE!A1:I22"/>
      <w:bookmarkEnd w:id="0"/>
      <w:bookmarkStart w:id="1" w:name="RANGE!A1:F16"/>
      <w:r>
        <w:rPr>
          <w:rFonts w:hint="eastAsia" w:ascii="Times New Roman" w:hAnsi="Times New Roman" w:eastAsia="方正小标宋_GBK" w:cs="Times New Roman"/>
          <w:kern w:val="0"/>
          <w:sz w:val="36"/>
          <w:szCs w:val="36"/>
          <w:lang w:eastAsia="zh-CN"/>
        </w:rPr>
        <w:drawing>
          <wp:inline distT="0" distB="0" distL="114300" distR="114300">
            <wp:extent cx="9316085" cy="6638925"/>
            <wp:effectExtent l="0" t="0" r="18415" b="952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7"/>
                    <a:stretch>
                      <a:fillRect/>
                    </a:stretch>
                  </pic:blipFill>
                  <pic:spPr>
                    <a:xfrm>
                      <a:off x="0" y="0"/>
                      <a:ext cx="9316085" cy="6638925"/>
                    </a:xfrm>
                    <a:prstGeom prst="rect">
                      <a:avLst/>
                    </a:prstGeom>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9337675" cy="6638925"/>
            <wp:effectExtent l="0" t="0" r="15875" b="9525"/>
            <wp:docPr id="10"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
                    <pic:cNvPicPr>
                      <a:picLocks noChangeAspect="1"/>
                    </pic:cNvPicPr>
                  </pic:nvPicPr>
                  <pic:blipFill>
                    <a:blip r:embed="rId8"/>
                    <a:stretch>
                      <a:fillRect/>
                    </a:stretch>
                  </pic:blipFill>
                  <pic:spPr>
                    <a:xfrm>
                      <a:off x="0" y="0"/>
                      <a:ext cx="9337675" cy="6638925"/>
                    </a:xfrm>
                    <a:prstGeom prst="rect">
                      <a:avLst/>
                    </a:prstGeom>
                  </pic:spPr>
                </pic:pic>
              </a:graphicData>
            </a:graphic>
          </wp:inline>
        </w:drawing>
      </w:r>
    </w:p>
    <w:bookmarkEnd w:id="1"/>
    <w:p>
      <w:pPr>
        <w:widowControl/>
        <w:jc w:val="left"/>
        <w:rPr>
          <w:rFonts w:ascii="宋体" w:eastAsia="宋体" w:cs="宋体"/>
          <w:kern w:val="0"/>
          <w:sz w:val="24"/>
          <w:szCs w:val="24"/>
        </w:rPr>
      </w:pPr>
      <w:r>
        <w:rPr>
          <w:rFonts w:hint="eastAsia" w:ascii="Times New Roman" w:hAnsi="Times New Roman" w:eastAsia="方正小标宋_GBK" w:cs="Times New Roman"/>
          <w:color w:val="000000"/>
          <w:kern w:val="0"/>
          <w:sz w:val="36"/>
          <w:szCs w:val="36"/>
        </w:rPr>
        <w:drawing>
          <wp:inline distT="0" distB="0" distL="114300" distR="114300">
            <wp:extent cx="9776460" cy="6263005"/>
            <wp:effectExtent l="0" t="0" r="15240" b="4445"/>
            <wp:docPr id="11" name="图片 1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
                    <pic:cNvPicPr>
                      <a:picLocks noChangeAspect="1"/>
                    </pic:cNvPicPr>
                  </pic:nvPicPr>
                  <pic:blipFill>
                    <a:blip r:embed="rId9"/>
                    <a:stretch>
                      <a:fillRect/>
                    </a:stretch>
                  </pic:blipFill>
                  <pic:spPr>
                    <a:xfrm>
                      <a:off x="0" y="0"/>
                      <a:ext cx="9776460" cy="6263005"/>
                    </a:xfrm>
                    <a:prstGeom prst="rect">
                      <a:avLst/>
                    </a:prstGeom>
                  </pic:spPr>
                </pic:pic>
              </a:graphicData>
            </a:graphic>
          </wp:inline>
        </w:drawing>
      </w:r>
    </w:p>
    <w:p>
      <w:pPr>
        <w:autoSpaceDE w:val="0"/>
        <w:autoSpaceDN w:val="0"/>
        <w:adjustRightInd w:val="0"/>
        <w:ind w:left="315" w:leftChars="150"/>
        <w:jc w:val="left"/>
        <w:rPr>
          <w:rFonts w:ascii="宋体" w:eastAsia="宋体" w:cs="宋体"/>
          <w:kern w:val="0"/>
          <w:sz w:val="24"/>
          <w:szCs w:val="24"/>
        </w:rPr>
      </w:pPr>
    </w:p>
    <w:p>
      <w:pPr>
        <w:widowControl/>
        <w:jc w:val="left"/>
        <w:rPr>
          <w:rFonts w:ascii="黑体" w:hAnsi="黑体" w:eastAsia="黑体"/>
          <w:szCs w:val="21"/>
        </w:rPr>
      </w:pPr>
      <w:r>
        <w:rPr>
          <w:rFonts w:ascii="Times New Roman" w:hAnsi="Times New Roman" w:eastAsia="方正小标宋_GBK" w:cs="Times New Roman"/>
          <w:kern w:val="0"/>
          <w:sz w:val="36"/>
          <w:szCs w:val="36"/>
        </w:rPr>
        <w:drawing>
          <wp:inline distT="0" distB="0" distL="114300" distR="114300">
            <wp:extent cx="9776460" cy="5499735"/>
            <wp:effectExtent l="0" t="0" r="15240" b="5715"/>
            <wp:docPr id="12" name="图片 1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
                    <pic:cNvPicPr>
                      <a:picLocks noChangeAspect="1"/>
                    </pic:cNvPicPr>
                  </pic:nvPicPr>
                  <pic:blipFill>
                    <a:blip r:embed="rId10"/>
                    <a:stretch>
                      <a:fillRect/>
                    </a:stretch>
                  </pic:blipFill>
                  <pic:spPr>
                    <a:xfrm>
                      <a:off x="0" y="0"/>
                      <a:ext cx="9776460" cy="5499735"/>
                    </a:xfrm>
                    <a:prstGeom prst="rect">
                      <a:avLst/>
                    </a:prstGeom>
                  </pic:spPr>
                </pic:pic>
              </a:graphicData>
            </a:graphic>
          </wp:inline>
        </w:drawing>
      </w:r>
    </w:p>
    <w:p>
      <w:pPr>
        <w:pStyle w:val="10"/>
        <w:rPr>
          <w:rFonts w:hint="eastAsia" w:eastAsia="黑体"/>
          <w:sz w:val="72"/>
          <w:szCs w:val="72"/>
          <w:lang w:eastAsia="zh-CN"/>
        </w:rPr>
        <w:sectPr>
          <w:pgSz w:w="16838" w:h="11906" w:orient="landscape"/>
          <w:pgMar w:top="720" w:right="720" w:bottom="720" w:left="720" w:header="851" w:footer="992" w:gutter="0"/>
          <w:cols w:space="425" w:num="1"/>
          <w:docGrid w:type="lines" w:linePitch="312" w:charSpace="0"/>
        </w:sectPr>
      </w:pPr>
      <w:r>
        <w:rPr>
          <w:rFonts w:hint="eastAsia" w:eastAsia="黑体"/>
          <w:sz w:val="72"/>
          <w:szCs w:val="72"/>
          <w:lang w:eastAsia="zh-CN"/>
        </w:rPr>
        <w:drawing>
          <wp:inline distT="0" distB="0" distL="114300" distR="114300">
            <wp:extent cx="9776460" cy="5499735"/>
            <wp:effectExtent l="0" t="0" r="15240" b="5715"/>
            <wp:docPr id="13" name="图片 1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
                    <pic:cNvPicPr>
                      <a:picLocks noChangeAspect="1"/>
                    </pic:cNvPicPr>
                  </pic:nvPicPr>
                  <pic:blipFill>
                    <a:blip r:embed="rId11"/>
                    <a:stretch>
                      <a:fillRect/>
                    </a:stretch>
                  </pic:blipFill>
                  <pic:spPr>
                    <a:xfrm>
                      <a:off x="0" y="0"/>
                      <a:ext cx="9776460" cy="5499735"/>
                    </a:xfrm>
                    <a:prstGeom prst="rect">
                      <a:avLst/>
                    </a:prstGeom>
                  </pic:spPr>
                </pic:pic>
              </a:graphicData>
            </a:graphic>
          </wp:inline>
        </w:drawing>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宋体" w:hAnsi="宋体" w:eastAsia="宋体"/>
          <w:color w:val="FF0000"/>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各1820.92</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各</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10.73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0.59</w:t>
      </w:r>
      <w:r>
        <w:rPr>
          <w:rFonts w:hint="eastAsia" w:asciiTheme="minorEastAsia" w:hAnsiTheme="minorEastAsia" w:eastAsiaTheme="minorEastAsia"/>
          <w:sz w:val="32"/>
          <w:szCs w:val="32"/>
        </w:rPr>
        <w:t>%，</w:t>
      </w:r>
      <w:r>
        <w:rPr>
          <w:rFonts w:hint="eastAsia" w:ascii="宋体" w:hAnsi="宋体" w:eastAsia="宋体"/>
          <w:sz w:val="32"/>
          <w:szCs w:val="32"/>
        </w:rPr>
        <w:t>主要是因为加强支出管理，严格控制一般性支出，降低行政运行成本，严格执行国家工资和津补贴政策。</w:t>
      </w:r>
    </w:p>
    <w:p>
      <w:pPr>
        <w:pStyle w:val="10"/>
        <w:ind w:firstLine="640" w:firstLineChars="200"/>
        <w:rPr>
          <w:rFonts w:hint="eastAsia" w:asciiTheme="minorEastAsia" w:hAnsiTheme="minorEastAsia" w:eastAsiaTheme="minorEastAsia"/>
          <w:sz w:val="32"/>
          <w:szCs w:val="32"/>
          <w:lang w:eastAsia="zh-CN"/>
        </w:rPr>
      </w:pP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1820.92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1820.92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1820.92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1251.34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68.72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569.58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31.28</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宋体" w:hAnsi="宋体" w:eastAsia="宋体"/>
          <w:color w:val="FF0000"/>
          <w:sz w:val="32"/>
          <w:szCs w:val="32"/>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各1820.92</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各</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10.53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0.57</w:t>
      </w:r>
      <w:r>
        <w:rPr>
          <w:rFonts w:hint="eastAsia" w:asciiTheme="minorEastAsia" w:hAnsiTheme="minorEastAsia" w:eastAsiaTheme="minorEastAsia"/>
          <w:sz w:val="32"/>
          <w:szCs w:val="32"/>
        </w:rPr>
        <w:t>%，</w:t>
      </w:r>
      <w:r>
        <w:rPr>
          <w:rFonts w:hint="eastAsia" w:ascii="宋体" w:hAnsi="宋体" w:eastAsia="宋体"/>
          <w:sz w:val="32"/>
          <w:szCs w:val="32"/>
        </w:rPr>
        <w:t>主要是因为加强支出管理，严格控制一般性支出，降低行政运行成本，严格执行国家工资和津补贴政策。</w:t>
      </w:r>
    </w:p>
    <w:p>
      <w:pPr>
        <w:pStyle w:val="10"/>
        <w:ind w:firstLine="640"/>
        <w:rPr>
          <w:rFonts w:hint="eastAsia" w:asciiTheme="minorEastAsia" w:hAnsiTheme="minorEastAsia" w:eastAsiaTheme="minorEastAsia"/>
          <w:sz w:val="32"/>
          <w:szCs w:val="32"/>
          <w:lang w:eastAsia="zh-CN"/>
        </w:rPr>
      </w:pP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宋体" w:hAnsi="宋体" w:eastAsia="宋体"/>
          <w:color w:val="FF0000"/>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1820.92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1820.92</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10.53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0.57</w:t>
      </w:r>
      <w:r>
        <w:rPr>
          <w:rFonts w:hint="eastAsia" w:asciiTheme="minorEastAsia" w:hAnsiTheme="minorEastAsia" w:eastAsiaTheme="minorEastAsia"/>
          <w:sz w:val="32"/>
          <w:szCs w:val="32"/>
        </w:rPr>
        <w:t>%，</w:t>
      </w:r>
      <w:r>
        <w:rPr>
          <w:rFonts w:hint="eastAsia" w:ascii="宋体" w:hAnsi="宋体" w:eastAsia="宋体"/>
          <w:sz w:val="32"/>
          <w:szCs w:val="32"/>
        </w:rPr>
        <w:t>主要是因为加强支出管理，严格控制一般性支出，降低行政运行成本，严格执行国家工资和津补贴政策。</w:t>
      </w:r>
    </w:p>
    <w:p>
      <w:pPr>
        <w:pStyle w:val="10"/>
        <w:ind w:firstLine="800" w:firstLineChars="250"/>
        <w:rPr>
          <w:rFonts w:asciiTheme="minorEastAsia" w:hAnsiTheme="minorEastAsia" w:eastAsiaTheme="minorEastAsia"/>
          <w:sz w:val="32"/>
          <w:szCs w:val="32"/>
        </w:rPr>
      </w:pP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1820.92</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1211.75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66.55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312.02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17.14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253.79万元，占13.94%；农村水支出12.81万元，占0.7%；住房保障支出27.55万元，占1.51%；城乡社区支出3万元，占0.16%。</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ind w:firstLine="640" w:firstLineChars="200"/>
        <w:jc w:val="left"/>
        <w:rPr>
          <w:rFonts w:ascii="仿宋" w:eastAsia="仿宋" w:cs="仿宋"/>
          <w:color w:val="FF0000"/>
          <w:sz w:val="32"/>
          <w:szCs w:val="32"/>
        </w:rPr>
      </w:pPr>
      <w:r>
        <w:rPr>
          <w:rFonts w:hint="eastAsia" w:ascii="宋体" w:hAnsi="宋体"/>
          <w:sz w:val="32"/>
          <w:szCs w:val="32"/>
        </w:rPr>
        <w:t>2021年度财政拨款支出年初预算数为</w:t>
      </w:r>
      <w:r>
        <w:rPr>
          <w:rFonts w:hint="eastAsia" w:ascii="宋体" w:hAnsi="宋体"/>
          <w:color w:val="auto"/>
          <w:sz w:val="32"/>
          <w:szCs w:val="32"/>
        </w:rPr>
        <w:t>1377.94</w:t>
      </w:r>
      <w:r>
        <w:rPr>
          <w:rFonts w:hint="eastAsia" w:ascii="宋体" w:hAnsi="宋体"/>
          <w:sz w:val="32"/>
          <w:szCs w:val="32"/>
        </w:rPr>
        <w:t>万元，支出决算数</w:t>
      </w:r>
      <w:r>
        <w:rPr>
          <w:rFonts w:hint="eastAsia" w:ascii="仿宋" w:eastAsia="仿宋" w:cs="仿宋"/>
          <w:color w:val="auto"/>
          <w:sz w:val="32"/>
          <w:szCs w:val="32"/>
        </w:rPr>
        <w:t>1820.92</w:t>
      </w:r>
      <w:r>
        <w:rPr>
          <w:rFonts w:hint="eastAsia" w:ascii="宋体" w:hAnsi="宋体"/>
          <w:sz w:val="32"/>
          <w:szCs w:val="32"/>
        </w:rPr>
        <w:t>万元，完成年初预算的</w:t>
      </w:r>
      <w:r>
        <w:rPr>
          <w:rFonts w:hint="eastAsia" w:ascii="宋体" w:hAnsi="宋体"/>
          <w:color w:val="auto"/>
          <w:sz w:val="32"/>
          <w:szCs w:val="32"/>
        </w:rPr>
        <w:t>132.15</w:t>
      </w:r>
      <w:r>
        <w:rPr>
          <w:rFonts w:hint="eastAsia" w:ascii="宋体" w:hAnsi="宋体"/>
          <w:sz w:val="32"/>
          <w:szCs w:val="32"/>
        </w:rPr>
        <w:t>%，其中：</w:t>
      </w:r>
    </w:p>
    <w:p>
      <w:pPr>
        <w:pStyle w:val="10"/>
        <w:ind w:firstLine="0" w:firstLineChars="0"/>
        <w:rPr>
          <w:rFonts w:hint="eastAsia" w:ascii="宋体" w:hAnsi="宋体" w:eastAsia="宋体" w:cs="Times New Roman"/>
          <w:color w:val="auto"/>
          <w:kern w:val="2"/>
          <w:sz w:val="32"/>
          <w:szCs w:val="32"/>
        </w:rPr>
      </w:pPr>
      <w:r>
        <w:rPr>
          <w:rFonts w:hint="eastAsia" w:ascii="宋体" w:hAnsi="宋体" w:eastAsia="宋体" w:cs="Times New Roman"/>
          <w:color w:val="auto"/>
          <w:kern w:val="2"/>
          <w:sz w:val="32"/>
          <w:szCs w:val="32"/>
          <w:highlight w:val="none"/>
        </w:rPr>
        <w:t xml:space="preserve">1、 </w:t>
      </w:r>
      <w:r>
        <w:rPr>
          <w:rFonts w:hint="eastAsia" w:ascii="宋体" w:hAnsi="宋体" w:eastAsia="宋体"/>
          <w:sz w:val="32"/>
          <w:szCs w:val="32"/>
          <w:highlight w:val="none"/>
        </w:rPr>
        <w:t>一般公共服务（类）</w:t>
      </w:r>
      <w:r>
        <w:rPr>
          <w:rFonts w:hint="eastAsia" w:ascii="宋体" w:hAnsi="宋体" w:eastAsia="宋体"/>
          <w:sz w:val="32"/>
          <w:szCs w:val="32"/>
          <w:highlight w:val="none"/>
          <w:lang w:eastAsia="zh-CN"/>
        </w:rPr>
        <w:t>群众团体事务</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工会事务</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rPr>
        <w:t>。</w:t>
      </w:r>
    </w:p>
    <w:p>
      <w:pPr>
        <w:pStyle w:val="10"/>
        <w:ind w:firstLine="640" w:firstLineChars="200"/>
        <w:rPr>
          <w:rFonts w:ascii="宋体" w:hAnsi="宋体" w:eastAsia="宋体"/>
          <w:color w:val="FF0000"/>
          <w:sz w:val="32"/>
          <w:szCs w:val="32"/>
        </w:rPr>
      </w:pPr>
      <w:r>
        <w:rPr>
          <w:rFonts w:hint="eastAsia" w:ascii="宋体" w:hAnsi="宋体" w:eastAsia="宋体"/>
          <w:color w:val="auto"/>
          <w:sz w:val="32"/>
          <w:szCs w:val="32"/>
        </w:rPr>
        <w:t>年初预算为170万元，支出决算为170万元，完成年初预算的100%，决算数等于年初预算数的主要原因是：工会事务费用专款专用。</w:t>
      </w:r>
    </w:p>
    <w:p>
      <w:pPr>
        <w:pStyle w:val="10"/>
        <w:ind w:firstLine="0" w:firstLineChars="0"/>
        <w:rPr>
          <w:rFonts w:hint="eastAsia" w:ascii="宋体" w:hAnsi="宋体" w:cs="Times New Roman"/>
          <w:color w:val="auto"/>
          <w:kern w:val="2"/>
          <w:sz w:val="32"/>
          <w:szCs w:val="32"/>
          <w:highlight w:val="none"/>
        </w:rPr>
      </w:pPr>
      <w:r>
        <w:rPr>
          <w:rFonts w:hint="eastAsia" w:ascii="宋体" w:hAnsi="宋体"/>
          <w:sz w:val="32"/>
          <w:szCs w:val="32"/>
          <w:highlight w:val="none"/>
        </w:rPr>
        <w:t>2、</w:t>
      </w:r>
      <w:r>
        <w:rPr>
          <w:rFonts w:hint="eastAsia" w:ascii="宋体" w:hAnsi="宋体" w:eastAsia="宋体"/>
          <w:sz w:val="32"/>
          <w:szCs w:val="32"/>
          <w:highlight w:val="none"/>
        </w:rPr>
        <w:t>一般公共服务（类）</w:t>
      </w:r>
      <w:r>
        <w:rPr>
          <w:rFonts w:hint="eastAsia" w:ascii="宋体" w:hAnsi="宋体" w:eastAsia="宋体"/>
          <w:sz w:val="32"/>
          <w:szCs w:val="32"/>
          <w:highlight w:val="none"/>
          <w:lang w:eastAsia="zh-CN"/>
        </w:rPr>
        <w:t>群众团体事务</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其他群众团体事务支出</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pStyle w:val="10"/>
        <w:ind w:firstLine="800" w:firstLineChars="250"/>
        <w:rPr>
          <w:rFonts w:hint="eastAsia" w:ascii="宋体" w:hAnsi="宋体" w:eastAsia="宋体"/>
          <w:color w:val="FF0000"/>
          <w:sz w:val="32"/>
          <w:szCs w:val="32"/>
        </w:rPr>
      </w:pPr>
      <w:r>
        <w:rPr>
          <w:rFonts w:hint="eastAsia" w:ascii="宋体" w:hAnsi="宋体" w:eastAsia="宋体"/>
          <w:color w:val="auto"/>
          <w:sz w:val="32"/>
          <w:szCs w:val="32"/>
        </w:rPr>
        <w:t>年初预算为39.4万元，支出决算为35.59万元，完成年初预算的90.33%，决算数小于年初预算数的主要原因是：本年度</w:t>
      </w:r>
      <w:r>
        <w:rPr>
          <w:rFonts w:hint="eastAsia" w:ascii="宋体" w:hAnsi="宋体" w:eastAsia="宋体" w:cs="Times New Roman"/>
          <w:color w:val="auto"/>
          <w:sz w:val="32"/>
          <w:szCs w:val="32"/>
        </w:rPr>
        <w:t>其他群众团体事务支出减少</w:t>
      </w:r>
      <w:r>
        <w:rPr>
          <w:rFonts w:hint="eastAsia" w:ascii="宋体" w:hAnsi="宋体" w:eastAsia="宋体"/>
          <w:color w:val="auto"/>
          <w:sz w:val="32"/>
          <w:szCs w:val="32"/>
        </w:rPr>
        <w:t>。</w:t>
      </w:r>
    </w:p>
    <w:p>
      <w:pPr>
        <w:jc w:val="left"/>
        <w:rPr>
          <w:rFonts w:hint="eastAsia" w:ascii="宋体" w:hAnsi="宋体" w:cs="黑体"/>
          <w:color w:val="auto"/>
          <w:kern w:val="0"/>
          <w:sz w:val="32"/>
          <w:szCs w:val="32"/>
        </w:rPr>
      </w:pPr>
      <w:r>
        <w:rPr>
          <w:rFonts w:hint="eastAsia" w:ascii="宋体" w:hAnsi="宋体" w:cs="黑体"/>
          <w:color w:val="auto"/>
          <w:kern w:val="0"/>
          <w:sz w:val="32"/>
          <w:szCs w:val="32"/>
          <w:highlight w:val="none"/>
        </w:rPr>
        <w:t>3、</w:t>
      </w:r>
      <w:r>
        <w:rPr>
          <w:rFonts w:hint="eastAsia" w:ascii="宋体" w:hAnsi="宋体" w:eastAsia="宋体"/>
          <w:sz w:val="32"/>
          <w:szCs w:val="32"/>
          <w:highlight w:val="none"/>
        </w:rPr>
        <w:t>一般公共服务（类）</w:t>
      </w:r>
      <w:r>
        <w:rPr>
          <w:rFonts w:hint="eastAsia" w:ascii="宋体" w:hAnsi="宋体" w:eastAsia="宋体"/>
          <w:sz w:val="32"/>
          <w:szCs w:val="32"/>
          <w:highlight w:val="none"/>
          <w:lang w:eastAsia="zh-CN"/>
        </w:rPr>
        <w:t>组织事务</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行政运行</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pStyle w:val="10"/>
        <w:ind w:firstLine="800" w:firstLineChars="250"/>
        <w:rPr>
          <w:rFonts w:hint="eastAsia" w:ascii="宋体" w:hAnsi="宋体" w:eastAsia="宋体"/>
          <w:color w:val="FF0000"/>
          <w:sz w:val="32"/>
          <w:szCs w:val="32"/>
        </w:rPr>
      </w:pPr>
      <w:r>
        <w:rPr>
          <w:rFonts w:hint="eastAsia" w:ascii="宋体" w:hAnsi="宋体" w:eastAsia="宋体"/>
          <w:color w:val="auto"/>
          <w:sz w:val="32"/>
          <w:szCs w:val="32"/>
        </w:rPr>
        <w:t>年初预算为189.21万元，支出决算为167.57万元，完成年初预算的88.56%，决算数小于年初预算数的主要原因是：行政管理事务减少。</w:t>
      </w:r>
    </w:p>
    <w:p>
      <w:pPr>
        <w:pStyle w:val="10"/>
        <w:rPr>
          <w:rFonts w:hint="eastAsia" w:ascii="宋体" w:hAnsi="宋体" w:eastAsia="宋体"/>
          <w:color w:val="FF0000"/>
          <w:sz w:val="32"/>
          <w:szCs w:val="32"/>
        </w:rPr>
      </w:pPr>
      <w:r>
        <w:rPr>
          <w:rFonts w:hint="eastAsia" w:ascii="宋体" w:hAnsi="宋体" w:eastAsia="宋体"/>
          <w:color w:val="auto"/>
          <w:sz w:val="32"/>
          <w:szCs w:val="32"/>
          <w:highlight w:val="none"/>
        </w:rPr>
        <w:t>4、</w:t>
      </w:r>
      <w:r>
        <w:rPr>
          <w:rFonts w:hint="eastAsia" w:ascii="宋体" w:hAnsi="宋体" w:eastAsia="宋体"/>
          <w:sz w:val="32"/>
          <w:szCs w:val="32"/>
          <w:highlight w:val="none"/>
        </w:rPr>
        <w:t>一般公共服务（类）</w:t>
      </w:r>
      <w:r>
        <w:rPr>
          <w:rFonts w:hint="eastAsia" w:ascii="宋体" w:hAnsi="宋体" w:eastAsia="宋体"/>
          <w:sz w:val="32"/>
          <w:szCs w:val="32"/>
          <w:highlight w:val="none"/>
          <w:lang w:eastAsia="zh-CN"/>
        </w:rPr>
        <w:t>其他共产党事务支出</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一般行政管理事务</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pStyle w:val="10"/>
        <w:ind w:firstLine="800" w:firstLineChars="250"/>
        <w:rPr>
          <w:rFonts w:hint="eastAsia" w:ascii="宋体" w:hAnsi="宋体" w:eastAsia="宋体"/>
          <w:color w:val="FF0000"/>
          <w:sz w:val="32"/>
          <w:szCs w:val="32"/>
        </w:rPr>
      </w:pPr>
      <w:r>
        <w:rPr>
          <w:rFonts w:hint="eastAsia" w:ascii="宋体" w:hAnsi="宋体" w:eastAsia="宋体"/>
          <w:color w:val="auto"/>
          <w:sz w:val="32"/>
          <w:szCs w:val="32"/>
        </w:rPr>
        <w:t>年初预算为50万元，支出决算为154.62万元，完成年初预算的309.24%，决算数大于年初预算数的主要原因是：本年度老干统战项目开支增加。</w:t>
      </w:r>
    </w:p>
    <w:p>
      <w:pPr>
        <w:pStyle w:val="10"/>
        <w:rPr>
          <w:rFonts w:hint="eastAsia" w:ascii="宋体" w:hAnsi="宋体" w:eastAsia="宋体"/>
          <w:color w:val="auto"/>
          <w:sz w:val="32"/>
          <w:szCs w:val="32"/>
        </w:rPr>
      </w:pPr>
      <w:r>
        <w:rPr>
          <w:rFonts w:hint="eastAsia" w:ascii="宋体" w:hAnsi="宋体" w:eastAsia="宋体"/>
          <w:color w:val="auto"/>
          <w:sz w:val="32"/>
          <w:szCs w:val="32"/>
          <w:highlight w:val="none"/>
        </w:rPr>
        <w:t>5、</w:t>
      </w:r>
      <w:r>
        <w:rPr>
          <w:rFonts w:hint="eastAsia" w:ascii="宋体" w:hAnsi="宋体" w:eastAsia="宋体"/>
          <w:sz w:val="32"/>
          <w:szCs w:val="32"/>
          <w:highlight w:val="none"/>
        </w:rPr>
        <w:t>一般公共服务（类）</w:t>
      </w:r>
      <w:r>
        <w:rPr>
          <w:rFonts w:hint="eastAsia" w:ascii="宋体" w:hAnsi="宋体" w:eastAsia="宋体"/>
          <w:sz w:val="32"/>
          <w:szCs w:val="32"/>
          <w:highlight w:val="none"/>
          <w:lang w:eastAsia="zh-CN"/>
        </w:rPr>
        <w:t>其他共产党事务支出</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其他共产党事务支出</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pStyle w:val="10"/>
        <w:ind w:firstLine="800" w:firstLineChars="250"/>
        <w:rPr>
          <w:rFonts w:hint="eastAsia" w:ascii="宋体" w:hAnsi="宋体" w:eastAsia="宋体"/>
          <w:color w:val="FF0000"/>
          <w:sz w:val="32"/>
          <w:szCs w:val="32"/>
        </w:rPr>
      </w:pPr>
      <w:r>
        <w:rPr>
          <w:rFonts w:hint="eastAsia" w:ascii="宋体" w:hAnsi="宋体" w:eastAsia="宋体"/>
          <w:color w:val="auto"/>
          <w:sz w:val="32"/>
          <w:szCs w:val="32"/>
        </w:rPr>
        <w:t>年初预算为792.14万元，支出决算为381.26万元，完成年初预算的48.13%，决算数小于年初预算数的主要原因是：本年度老干统战项目开支</w:t>
      </w:r>
      <w:r>
        <w:rPr>
          <w:rFonts w:hint="eastAsia" w:ascii="宋体" w:hAnsi="宋体" w:eastAsia="宋体"/>
          <w:color w:val="auto"/>
          <w:sz w:val="32"/>
          <w:szCs w:val="32"/>
          <w:lang w:eastAsia="zh-CN"/>
        </w:rPr>
        <w:t>减少</w:t>
      </w:r>
      <w:r>
        <w:rPr>
          <w:rFonts w:hint="eastAsia" w:ascii="宋体" w:hAnsi="宋体" w:eastAsia="宋体"/>
          <w:color w:val="auto"/>
          <w:sz w:val="32"/>
          <w:szCs w:val="32"/>
        </w:rPr>
        <w:t>。</w:t>
      </w:r>
    </w:p>
    <w:p>
      <w:pPr>
        <w:jc w:val="left"/>
        <w:rPr>
          <w:rFonts w:hint="eastAsia" w:ascii="宋体" w:hAnsi="宋体" w:cs="黑体"/>
          <w:color w:val="auto"/>
          <w:kern w:val="0"/>
          <w:sz w:val="32"/>
          <w:szCs w:val="32"/>
          <w:highlight w:val="red"/>
        </w:rPr>
      </w:pPr>
      <w:r>
        <w:rPr>
          <w:rFonts w:hint="eastAsia" w:ascii="宋体" w:hAnsi="宋体" w:cs="黑体"/>
          <w:color w:val="auto"/>
          <w:kern w:val="0"/>
          <w:sz w:val="32"/>
          <w:szCs w:val="32"/>
          <w:highlight w:val="none"/>
        </w:rPr>
        <w:t>6、</w:t>
      </w:r>
      <w:r>
        <w:rPr>
          <w:rFonts w:hint="eastAsia" w:ascii="宋体" w:hAnsi="宋体" w:eastAsia="宋体"/>
          <w:sz w:val="32"/>
          <w:szCs w:val="32"/>
          <w:highlight w:val="none"/>
        </w:rPr>
        <w:t>社会保障和就业支出（类）</w:t>
      </w:r>
      <w:r>
        <w:rPr>
          <w:rFonts w:hint="eastAsia" w:ascii="宋体" w:hAnsi="宋体" w:eastAsia="宋体"/>
          <w:sz w:val="32"/>
          <w:szCs w:val="32"/>
          <w:highlight w:val="none"/>
          <w:lang w:eastAsia="zh-CN"/>
        </w:rPr>
        <w:t>民政管理事务</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）基层政权建设和社区治理</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pStyle w:val="10"/>
        <w:ind w:firstLine="800" w:firstLineChars="250"/>
        <w:rPr>
          <w:rFonts w:hint="eastAsia" w:ascii="宋体" w:hAnsi="宋体" w:eastAsia="宋体"/>
          <w:color w:val="auto"/>
          <w:sz w:val="32"/>
          <w:szCs w:val="32"/>
        </w:rPr>
      </w:pPr>
      <w:r>
        <w:rPr>
          <w:rFonts w:hint="eastAsia" w:ascii="宋体" w:hAnsi="宋体" w:eastAsia="宋体"/>
          <w:color w:val="auto"/>
          <w:sz w:val="32"/>
          <w:szCs w:val="32"/>
        </w:rPr>
        <w:t>年初预算为10万元，支出决算为5万元，完成年初预算的50%，决算数小于年初预算数的主要原因是：本年度建设和社区治理事务支出减少。</w:t>
      </w:r>
    </w:p>
    <w:p>
      <w:pPr>
        <w:jc w:val="left"/>
        <w:rPr>
          <w:rFonts w:hint="eastAsia" w:ascii="宋体" w:hAnsi="宋体" w:eastAsia="宋体"/>
          <w:color w:val="auto"/>
          <w:sz w:val="32"/>
          <w:szCs w:val="32"/>
        </w:rPr>
      </w:pPr>
      <w:r>
        <w:rPr>
          <w:rFonts w:hint="eastAsia" w:ascii="宋体" w:hAnsi="宋体" w:eastAsia="宋体"/>
          <w:color w:val="auto"/>
          <w:sz w:val="32"/>
          <w:szCs w:val="32"/>
          <w:highlight w:val="none"/>
        </w:rPr>
        <w:t>7、</w:t>
      </w:r>
      <w:r>
        <w:rPr>
          <w:rFonts w:hint="eastAsia" w:ascii="宋体" w:hAnsi="宋体" w:eastAsia="宋体"/>
          <w:sz w:val="32"/>
          <w:szCs w:val="32"/>
          <w:highlight w:val="none"/>
        </w:rPr>
        <w:t>社会保障和就业支出（类）</w:t>
      </w:r>
      <w:r>
        <w:rPr>
          <w:rFonts w:hint="eastAsia" w:ascii="宋体" w:hAnsi="宋体" w:eastAsia="宋体"/>
          <w:sz w:val="32"/>
          <w:szCs w:val="32"/>
          <w:highlight w:val="none"/>
          <w:lang w:eastAsia="zh-CN"/>
        </w:rPr>
        <w:t>行政事业单位养老支出</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）机关事业单位基本养老保险缴费支出</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pStyle w:val="10"/>
        <w:ind w:firstLine="800" w:firstLineChars="250"/>
        <w:rPr>
          <w:rFonts w:hint="eastAsia" w:ascii="宋体" w:hAnsi="宋体" w:eastAsia="宋体"/>
          <w:color w:val="auto"/>
          <w:sz w:val="32"/>
          <w:szCs w:val="32"/>
        </w:rPr>
      </w:pPr>
      <w:r>
        <w:rPr>
          <w:rFonts w:hint="eastAsia" w:ascii="宋体" w:hAnsi="宋体" w:eastAsia="宋体"/>
          <w:color w:val="auto"/>
          <w:sz w:val="32"/>
          <w:szCs w:val="32"/>
        </w:rPr>
        <w:t>年初预算为16.57万元，支出决算为235.31万元，完成年初预算的1420.1%，决算数大于年初预算数的主要原因是：机关事业单位基本养老保险缴费由组工局统一缴纳。</w:t>
      </w:r>
    </w:p>
    <w:p>
      <w:pPr>
        <w:pStyle w:val="10"/>
        <w:numPr>
          <w:ilvl w:val="0"/>
          <w:numId w:val="2"/>
        </w:numPr>
        <w:rPr>
          <w:rFonts w:hint="eastAsia" w:ascii="宋体" w:hAnsi="宋体" w:eastAsia="宋体" w:cs="Times New Roman"/>
          <w:color w:val="auto"/>
          <w:kern w:val="2"/>
          <w:sz w:val="32"/>
          <w:szCs w:val="32"/>
          <w:highlight w:val="none"/>
        </w:rPr>
      </w:pPr>
      <w:r>
        <w:rPr>
          <w:rFonts w:hint="eastAsia" w:ascii="宋体" w:hAnsi="宋体" w:eastAsia="宋体"/>
          <w:sz w:val="32"/>
          <w:szCs w:val="32"/>
          <w:highlight w:val="none"/>
        </w:rPr>
        <w:t>社会保障和就业支出（类）</w:t>
      </w:r>
      <w:r>
        <w:rPr>
          <w:rFonts w:hint="eastAsia" w:ascii="宋体" w:hAnsi="宋体" w:eastAsia="宋体"/>
          <w:sz w:val="32"/>
          <w:szCs w:val="32"/>
          <w:highlight w:val="none"/>
          <w:lang w:eastAsia="zh-CN"/>
        </w:rPr>
        <w:t>行政事业单位养老支出</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）机关事业单位职业年金缴费支出</w:t>
      </w:r>
      <w:r>
        <w:rPr>
          <w:rFonts w:hint="eastAsia" w:ascii="宋体" w:hAnsi="宋体" w:eastAsia="宋体"/>
          <w:sz w:val="32"/>
          <w:szCs w:val="32"/>
          <w:highlight w:val="none"/>
        </w:rPr>
        <w:t>（项）</w:t>
      </w:r>
      <w:r>
        <w:rPr>
          <w:rFonts w:hint="eastAsia" w:ascii="宋体" w:hAnsi="宋体" w:eastAsia="宋体" w:cs="Times New Roman"/>
          <w:color w:val="auto"/>
          <w:kern w:val="2"/>
          <w:sz w:val="32"/>
          <w:szCs w:val="32"/>
          <w:highlight w:val="none"/>
        </w:rPr>
        <w:t>。</w:t>
      </w:r>
    </w:p>
    <w:p>
      <w:pPr>
        <w:pStyle w:val="10"/>
        <w:numPr>
          <w:ilvl w:val="0"/>
          <w:numId w:val="0"/>
        </w:numPr>
        <w:ind w:firstLine="640" w:firstLineChars="200"/>
        <w:rPr>
          <w:rFonts w:ascii="宋体" w:hAnsi="宋体" w:eastAsia="宋体"/>
          <w:color w:val="FF0000"/>
          <w:sz w:val="32"/>
          <w:szCs w:val="32"/>
        </w:rPr>
      </w:pPr>
      <w:r>
        <w:rPr>
          <w:rFonts w:hint="eastAsia" w:ascii="宋体" w:hAnsi="宋体" w:eastAsia="宋体"/>
          <w:color w:val="auto"/>
          <w:sz w:val="32"/>
          <w:szCs w:val="32"/>
        </w:rPr>
        <w:t>年初预算为8.29万元，支出决算为71.54万元，完成年初预算的862.97%，决算数大于年初预算数的主要原因是：机关事业单位职业年金缴费由组工局统一缴纳。</w:t>
      </w:r>
    </w:p>
    <w:p>
      <w:pPr>
        <w:jc w:val="left"/>
        <w:rPr>
          <w:rFonts w:hint="eastAsia" w:ascii="宋体" w:hAnsi="宋体" w:eastAsia="宋体" w:cs="黑体"/>
          <w:color w:val="auto"/>
          <w:kern w:val="0"/>
          <w:sz w:val="32"/>
          <w:szCs w:val="32"/>
          <w:lang w:val="en-US" w:eastAsia="zh-CN"/>
        </w:rPr>
      </w:pPr>
      <w:r>
        <w:rPr>
          <w:rFonts w:hint="eastAsia" w:ascii="宋体" w:hAnsi="宋体" w:cs="黑体"/>
          <w:color w:val="auto"/>
          <w:kern w:val="0"/>
          <w:sz w:val="32"/>
          <w:szCs w:val="32"/>
          <w:highlight w:val="none"/>
          <w:lang w:val="en-US" w:eastAsia="zh-CN"/>
        </w:rPr>
        <w:t>9</w:t>
      </w:r>
      <w:r>
        <w:rPr>
          <w:rFonts w:hint="eastAsia" w:ascii="宋体" w:hAnsi="宋体" w:cs="黑体"/>
          <w:color w:val="auto"/>
          <w:kern w:val="0"/>
          <w:sz w:val="32"/>
          <w:szCs w:val="32"/>
          <w:highlight w:val="none"/>
        </w:rPr>
        <w:t>、</w:t>
      </w:r>
      <w:r>
        <w:rPr>
          <w:rFonts w:hint="eastAsia" w:ascii="宋体" w:hAnsi="宋体" w:eastAsia="宋体"/>
          <w:sz w:val="32"/>
          <w:szCs w:val="32"/>
          <w:highlight w:val="none"/>
        </w:rPr>
        <w:t>社会保障和就业支出（类）</w:t>
      </w:r>
      <w:r>
        <w:rPr>
          <w:rFonts w:hint="eastAsia" w:ascii="宋体" w:hAnsi="宋体" w:eastAsia="宋体"/>
          <w:sz w:val="32"/>
          <w:szCs w:val="32"/>
          <w:highlight w:val="none"/>
          <w:lang w:eastAsia="zh-CN"/>
        </w:rPr>
        <w:t>抚恤</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w:t>
      </w:r>
      <w:r>
        <w:rPr>
          <w:rFonts w:hint="eastAsia" w:ascii="宋体" w:hAnsi="宋体" w:eastAsia="宋体"/>
          <w:color w:val="auto"/>
          <w:sz w:val="32"/>
          <w:szCs w:val="32"/>
        </w:rPr>
        <w:t>退役安置</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pPr>
        <w:pStyle w:val="10"/>
        <w:ind w:firstLine="800" w:firstLineChars="250"/>
        <w:rPr>
          <w:rFonts w:hint="eastAsia" w:ascii="宋体" w:hAnsi="宋体" w:eastAsia="宋体"/>
          <w:color w:val="FF0000"/>
          <w:sz w:val="32"/>
          <w:szCs w:val="32"/>
        </w:rPr>
      </w:pPr>
      <w:r>
        <w:rPr>
          <w:rFonts w:hint="eastAsia" w:ascii="宋体" w:hAnsi="宋体" w:eastAsia="宋体"/>
          <w:color w:val="auto"/>
          <w:sz w:val="32"/>
          <w:szCs w:val="32"/>
        </w:rPr>
        <w:t>年初预算为5万元，支出决算为0万元，完成年初预算的0%，决算数小于年初预算数的主要原因是：本年度没有退役安置任务。</w:t>
      </w:r>
    </w:p>
    <w:p>
      <w:pPr>
        <w:jc w:val="left"/>
        <w:rPr>
          <w:rFonts w:hint="eastAsia" w:ascii="宋体" w:hAnsi="宋体"/>
          <w:color w:val="auto"/>
          <w:sz w:val="32"/>
          <w:szCs w:val="32"/>
        </w:rPr>
      </w:pPr>
      <w:r>
        <w:rPr>
          <w:rFonts w:hint="eastAsia" w:ascii="宋体" w:hAnsi="宋体"/>
          <w:sz w:val="32"/>
          <w:szCs w:val="32"/>
          <w:highlight w:val="none"/>
          <w:lang w:val="en-US" w:eastAsia="zh-CN"/>
        </w:rPr>
        <w:t>10</w:t>
      </w:r>
      <w:r>
        <w:rPr>
          <w:rFonts w:hint="eastAsia" w:ascii="宋体" w:hAnsi="宋体"/>
          <w:color w:val="auto"/>
          <w:sz w:val="32"/>
          <w:szCs w:val="32"/>
          <w:highlight w:val="none"/>
        </w:rPr>
        <w:t>、</w:t>
      </w:r>
      <w:r>
        <w:rPr>
          <w:rFonts w:hint="eastAsia" w:ascii="宋体" w:hAnsi="宋体" w:eastAsia="宋体"/>
          <w:sz w:val="32"/>
          <w:szCs w:val="32"/>
          <w:highlight w:val="none"/>
        </w:rPr>
        <w:t>卫生健康支出（类）</w:t>
      </w:r>
      <w:r>
        <w:rPr>
          <w:rFonts w:hint="eastAsia" w:ascii="宋体" w:hAnsi="宋体" w:eastAsia="宋体"/>
          <w:sz w:val="32"/>
          <w:szCs w:val="32"/>
          <w:highlight w:val="none"/>
          <w:lang w:eastAsia="zh-CN"/>
        </w:rPr>
        <w:t>行政事业单位医疗</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w:t>
      </w:r>
      <w:r>
        <w:rPr>
          <w:rFonts w:hint="eastAsia" w:ascii="宋体" w:hAnsi="宋体" w:eastAsia="宋体"/>
          <w:color w:val="auto"/>
          <w:sz w:val="32"/>
          <w:szCs w:val="32"/>
        </w:rPr>
        <w:t>事业单位医疗</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pPr>
        <w:ind w:firstLine="640" w:firstLineChars="200"/>
        <w:jc w:val="left"/>
        <w:rPr>
          <w:rFonts w:hint="eastAsia" w:ascii="宋体" w:hAnsi="宋体"/>
          <w:color w:val="auto"/>
          <w:sz w:val="32"/>
          <w:szCs w:val="32"/>
        </w:rPr>
      </w:pPr>
      <w:r>
        <w:rPr>
          <w:rFonts w:hint="eastAsia" w:ascii="宋体" w:hAnsi="宋体"/>
          <w:color w:val="auto"/>
          <w:sz w:val="32"/>
          <w:szCs w:val="32"/>
        </w:rPr>
        <w:t>年初预算为13.04万元，支出决算为173.61万元，完成年初预算的1331.37%，决算数大于年初预算数的主要原因是：医疗事业单位医疗由组工局统一缴纳。</w:t>
      </w:r>
    </w:p>
    <w:p>
      <w:pPr>
        <w:jc w:val="left"/>
        <w:rPr>
          <w:rFonts w:hint="eastAsia" w:ascii="宋体" w:hAnsi="宋体"/>
          <w:color w:val="auto"/>
          <w:sz w:val="32"/>
          <w:szCs w:val="32"/>
        </w:rPr>
      </w:pPr>
      <w:r>
        <w:rPr>
          <w:rFonts w:hint="eastAsia" w:ascii="宋体" w:hAnsi="宋体"/>
          <w:sz w:val="32"/>
          <w:szCs w:val="32"/>
          <w:highlight w:val="none"/>
        </w:rPr>
        <w:t>1</w:t>
      </w:r>
      <w:r>
        <w:rPr>
          <w:rFonts w:hint="eastAsia" w:ascii="宋体" w:hAnsi="宋体"/>
          <w:sz w:val="32"/>
          <w:szCs w:val="32"/>
          <w:highlight w:val="none"/>
          <w:lang w:val="en-US" w:eastAsia="zh-CN"/>
        </w:rPr>
        <w:t>1</w:t>
      </w:r>
      <w:r>
        <w:rPr>
          <w:rFonts w:hint="eastAsia" w:ascii="宋体" w:hAnsi="宋体"/>
          <w:color w:val="auto"/>
          <w:sz w:val="32"/>
          <w:szCs w:val="32"/>
          <w:highlight w:val="none"/>
        </w:rPr>
        <w:t>、</w:t>
      </w:r>
      <w:r>
        <w:rPr>
          <w:rFonts w:hint="eastAsia" w:ascii="宋体" w:hAnsi="宋体" w:eastAsia="宋体"/>
          <w:sz w:val="32"/>
          <w:szCs w:val="32"/>
          <w:highlight w:val="none"/>
        </w:rPr>
        <w:t>卫生健康支出（类）</w:t>
      </w:r>
      <w:r>
        <w:rPr>
          <w:rFonts w:hint="eastAsia" w:ascii="宋体" w:hAnsi="宋体" w:eastAsia="宋体"/>
          <w:sz w:val="32"/>
          <w:szCs w:val="32"/>
          <w:highlight w:val="none"/>
          <w:lang w:eastAsia="zh-CN"/>
        </w:rPr>
        <w:t>行政事业单位医疗</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w:t>
      </w:r>
      <w:r>
        <w:rPr>
          <w:rFonts w:hint="eastAsia" w:ascii="宋体" w:hAnsi="宋体" w:eastAsia="宋体"/>
          <w:color w:val="auto"/>
          <w:sz w:val="32"/>
          <w:szCs w:val="32"/>
        </w:rPr>
        <w:t>公务员医疗补助</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pPr>
        <w:pStyle w:val="10"/>
        <w:ind w:firstLine="640" w:firstLineChars="200"/>
        <w:rPr>
          <w:rFonts w:hint="eastAsia" w:ascii="宋体" w:hAnsi="宋体"/>
          <w:color w:val="FF0000"/>
          <w:sz w:val="32"/>
          <w:szCs w:val="32"/>
        </w:rPr>
      </w:pPr>
      <w:r>
        <w:rPr>
          <w:rFonts w:hint="eastAsia" w:ascii="宋体" w:hAnsi="宋体" w:eastAsia="宋体" w:cs="Times New Roman"/>
          <w:color w:val="auto"/>
          <w:kern w:val="2"/>
          <w:sz w:val="32"/>
          <w:szCs w:val="32"/>
        </w:rPr>
        <w:t>年初预算为5.99万元，支出决算为80.19万元，完成年初预算的1338.73%，决算数大于年初预算数的主要原因是：医疗公务员医疗补助由组工局统一缴纳。</w:t>
      </w:r>
    </w:p>
    <w:p>
      <w:pPr>
        <w:jc w:val="left"/>
        <w:rPr>
          <w:rFonts w:hint="eastAsia" w:ascii="宋体" w:hAnsi="宋体"/>
          <w:color w:val="auto"/>
          <w:sz w:val="32"/>
          <w:szCs w:val="32"/>
        </w:rPr>
      </w:pPr>
      <w:r>
        <w:rPr>
          <w:rFonts w:hint="eastAsia" w:ascii="宋体" w:hAnsi="宋体" w:eastAsia="宋体"/>
          <w:color w:val="000000"/>
          <w:sz w:val="32"/>
          <w:szCs w:val="32"/>
          <w:highlight w:val="none"/>
        </w:rPr>
        <w:t>11、</w:t>
      </w:r>
      <w:r>
        <w:rPr>
          <w:rFonts w:hint="eastAsia" w:ascii="宋体" w:hAnsi="宋体" w:eastAsia="宋体"/>
          <w:sz w:val="32"/>
          <w:szCs w:val="32"/>
          <w:highlight w:val="none"/>
        </w:rPr>
        <w:t>农林水支出（类）</w:t>
      </w:r>
      <w:r>
        <w:rPr>
          <w:rFonts w:hint="eastAsia" w:ascii="宋体" w:hAnsi="宋体" w:eastAsia="宋体"/>
          <w:sz w:val="32"/>
          <w:szCs w:val="32"/>
          <w:highlight w:val="none"/>
          <w:lang w:eastAsia="zh-CN"/>
        </w:rPr>
        <w:t>扶贫</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w:t>
      </w:r>
      <w:r>
        <w:rPr>
          <w:rFonts w:hint="eastAsia" w:ascii="宋体" w:hAnsi="宋体" w:eastAsia="宋体"/>
          <w:color w:val="auto"/>
          <w:sz w:val="32"/>
          <w:szCs w:val="32"/>
        </w:rPr>
        <w:t>其他扶贫支出</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pPr>
        <w:pStyle w:val="10"/>
        <w:rPr>
          <w:rFonts w:hint="eastAsia" w:ascii="宋体" w:hAnsi="宋体" w:eastAsia="宋体"/>
          <w:sz w:val="32"/>
          <w:szCs w:val="32"/>
        </w:rPr>
      </w:pPr>
    </w:p>
    <w:p>
      <w:pPr>
        <w:pStyle w:val="10"/>
        <w:ind w:firstLine="800" w:firstLineChars="250"/>
        <w:rPr>
          <w:rFonts w:hint="eastAsia" w:ascii="宋体" w:hAnsi="宋体" w:eastAsia="宋体"/>
          <w:color w:val="auto"/>
          <w:sz w:val="32"/>
          <w:szCs w:val="32"/>
        </w:rPr>
      </w:pPr>
      <w:r>
        <w:rPr>
          <w:rFonts w:hint="eastAsia" w:ascii="宋体" w:hAnsi="宋体" w:eastAsia="宋体"/>
          <w:sz w:val="32"/>
          <w:szCs w:val="32"/>
        </w:rPr>
        <w:t>年初预算为</w:t>
      </w:r>
      <w:r>
        <w:rPr>
          <w:rFonts w:hint="eastAsia" w:ascii="宋体" w:hAnsi="宋体" w:eastAsia="宋体"/>
          <w:color w:val="000000"/>
          <w:sz w:val="32"/>
          <w:szCs w:val="32"/>
        </w:rPr>
        <w:t>6</w:t>
      </w:r>
      <w:r>
        <w:rPr>
          <w:rFonts w:hint="eastAsia" w:ascii="宋体" w:hAnsi="宋体" w:eastAsia="宋体"/>
          <w:sz w:val="32"/>
          <w:szCs w:val="32"/>
        </w:rPr>
        <w:t>0万元，支出决算为</w:t>
      </w:r>
      <w:r>
        <w:rPr>
          <w:rFonts w:hint="eastAsia" w:ascii="宋体" w:hAnsi="宋体" w:eastAsia="宋体"/>
          <w:color w:val="auto"/>
          <w:sz w:val="32"/>
          <w:szCs w:val="32"/>
        </w:rPr>
        <w:t>12.58万</w:t>
      </w:r>
      <w:r>
        <w:rPr>
          <w:rFonts w:hint="eastAsia" w:ascii="宋体" w:hAnsi="宋体" w:eastAsia="宋体"/>
          <w:sz w:val="32"/>
          <w:szCs w:val="32"/>
        </w:rPr>
        <w:t>元，完成年初预算的</w:t>
      </w:r>
      <w:r>
        <w:rPr>
          <w:rFonts w:hint="eastAsia" w:ascii="宋体" w:hAnsi="宋体" w:eastAsia="宋体"/>
          <w:color w:val="auto"/>
          <w:sz w:val="32"/>
          <w:szCs w:val="32"/>
        </w:rPr>
        <w:t>20.99%，决算数小于年初预算数的主要原因是：本年度其他扶贫支出减少。</w:t>
      </w:r>
    </w:p>
    <w:p>
      <w:pPr>
        <w:jc w:val="left"/>
        <w:rPr>
          <w:rFonts w:hint="eastAsia" w:ascii="宋体" w:hAnsi="宋体" w:cs="黑体"/>
          <w:color w:val="000000"/>
          <w:kern w:val="0"/>
          <w:sz w:val="32"/>
          <w:szCs w:val="32"/>
        </w:rPr>
      </w:pPr>
      <w:r>
        <w:rPr>
          <w:rFonts w:hint="eastAsia" w:ascii="宋体" w:hAnsi="宋体" w:cs="黑体"/>
          <w:color w:val="000000"/>
          <w:kern w:val="0"/>
          <w:sz w:val="32"/>
          <w:szCs w:val="32"/>
          <w:highlight w:val="none"/>
        </w:rPr>
        <w:t>12、</w:t>
      </w:r>
      <w:r>
        <w:rPr>
          <w:rFonts w:hint="eastAsia" w:ascii="宋体" w:hAnsi="宋体" w:eastAsia="宋体"/>
          <w:sz w:val="32"/>
          <w:szCs w:val="32"/>
          <w:highlight w:val="none"/>
        </w:rPr>
        <w:t>住房保障支出（类）</w:t>
      </w:r>
      <w:r>
        <w:rPr>
          <w:rFonts w:hint="eastAsia" w:ascii="宋体" w:hAnsi="宋体" w:eastAsia="宋体"/>
          <w:sz w:val="32"/>
          <w:szCs w:val="32"/>
          <w:highlight w:val="none"/>
          <w:lang w:eastAsia="zh-CN"/>
        </w:rPr>
        <w:t>住房改革支出</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w:t>
      </w:r>
      <w:r>
        <w:rPr>
          <w:rFonts w:hint="eastAsia" w:ascii="宋体" w:hAnsi="宋体" w:eastAsia="宋体"/>
          <w:color w:val="auto"/>
          <w:sz w:val="32"/>
          <w:szCs w:val="32"/>
        </w:rPr>
        <w:t>住房公积金</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pPr>
        <w:pStyle w:val="10"/>
        <w:ind w:firstLine="800" w:firstLineChars="250"/>
        <w:rPr>
          <w:rFonts w:hint="eastAsia" w:ascii="宋体" w:hAnsi="宋体" w:eastAsia="宋体"/>
          <w:sz w:val="32"/>
          <w:szCs w:val="32"/>
        </w:rPr>
      </w:pPr>
      <w:r>
        <w:rPr>
          <w:rFonts w:hint="eastAsia" w:ascii="宋体" w:hAnsi="宋体" w:eastAsia="宋体"/>
          <w:color w:val="000000"/>
          <w:sz w:val="32"/>
          <w:szCs w:val="32"/>
        </w:rPr>
        <w:t>年初预算为</w:t>
      </w:r>
      <w:r>
        <w:rPr>
          <w:rFonts w:hint="eastAsia" w:ascii="宋体" w:hAnsi="宋体" w:eastAsia="宋体"/>
          <w:sz w:val="32"/>
          <w:szCs w:val="32"/>
        </w:rPr>
        <w:t>18.3</w:t>
      </w:r>
      <w:r>
        <w:rPr>
          <w:rFonts w:hint="eastAsia" w:ascii="宋体" w:hAnsi="宋体" w:eastAsia="宋体"/>
          <w:color w:val="000000"/>
          <w:sz w:val="32"/>
          <w:szCs w:val="32"/>
        </w:rPr>
        <w:t>万元，支出决算为27.55万元，完成年初预算的150.55%，决算数大于年初预算数的主要原因是：本年度人员增加。</w:t>
      </w:r>
    </w:p>
    <w:p>
      <w:pPr>
        <w:jc w:val="left"/>
        <w:rPr>
          <w:rFonts w:hint="eastAsia" w:ascii="宋体" w:hAnsi="宋体" w:cs="黑体"/>
          <w:kern w:val="0"/>
          <w:sz w:val="32"/>
          <w:szCs w:val="32"/>
        </w:rPr>
      </w:pPr>
      <w:r>
        <w:rPr>
          <w:rFonts w:hint="eastAsia" w:ascii="宋体" w:hAnsi="宋体" w:cs="黑体"/>
          <w:kern w:val="0"/>
          <w:sz w:val="32"/>
          <w:szCs w:val="32"/>
          <w:highlight w:val="none"/>
        </w:rPr>
        <w:t>13.</w:t>
      </w:r>
      <w:r>
        <w:rPr>
          <w:rFonts w:hint="eastAsia" w:ascii="宋体" w:hAnsi="宋体" w:eastAsia="宋体"/>
          <w:sz w:val="32"/>
          <w:szCs w:val="32"/>
          <w:highlight w:val="none"/>
        </w:rPr>
        <w:t>社会保障和就业支出（类）</w:t>
      </w:r>
      <w:r>
        <w:rPr>
          <w:rFonts w:hint="eastAsia" w:ascii="宋体" w:hAnsi="宋体" w:eastAsia="宋体"/>
          <w:sz w:val="32"/>
          <w:szCs w:val="32"/>
          <w:highlight w:val="none"/>
          <w:lang w:eastAsia="zh-CN"/>
        </w:rPr>
        <w:t>抚恤</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w:t>
      </w:r>
      <w:r>
        <w:rPr>
          <w:rFonts w:hint="eastAsia" w:ascii="宋体" w:hAnsi="宋体" w:eastAsia="宋体"/>
          <w:color w:val="auto"/>
          <w:sz w:val="32"/>
          <w:szCs w:val="32"/>
        </w:rPr>
        <w:t>其他优抚支出</w:t>
      </w:r>
      <w:r>
        <w:rPr>
          <w:rFonts w:hint="eastAsia" w:ascii="宋体" w:hAnsi="宋体" w:eastAsia="宋体"/>
          <w:sz w:val="32"/>
          <w:szCs w:val="32"/>
          <w:highlight w:val="none"/>
        </w:rPr>
        <w:t>（项）</w:t>
      </w:r>
    </w:p>
    <w:p>
      <w:pPr>
        <w:pStyle w:val="10"/>
        <w:ind w:firstLine="800" w:firstLineChars="250"/>
        <w:rPr>
          <w:rFonts w:hint="eastAsia" w:ascii="宋体" w:hAnsi="宋体" w:eastAsia="宋体"/>
          <w:b w:val="0"/>
          <w:bCs w:val="0"/>
          <w:color w:val="auto"/>
          <w:sz w:val="32"/>
          <w:szCs w:val="32"/>
        </w:rPr>
      </w:pPr>
      <w:r>
        <w:rPr>
          <w:rFonts w:hint="eastAsia" w:ascii="宋体" w:hAnsi="宋体" w:eastAsia="宋体"/>
          <w:color w:val="000000"/>
          <w:sz w:val="32"/>
          <w:szCs w:val="32"/>
        </w:rPr>
        <w:t>年初预算为0万元，支出决算为0.18万元，由于预算数为0，无法计算百分比，决算数小于年初预算数的主要原因是：使用其他退役安置支出经费开支</w:t>
      </w:r>
      <w:r>
        <w:rPr>
          <w:rFonts w:hint="eastAsia" w:ascii="宋体" w:hAnsi="宋体"/>
          <w:b w:val="0"/>
          <w:bCs w:val="0"/>
          <w:sz w:val="32"/>
          <w:szCs w:val="32"/>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1251.35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998.64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79.81</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绩效工资、机关事业单位基本养老保险缴费、职业年金缴费、职工基本医疗保险缴费、公务员医疗补助缴费、其他社会保障缴费、住房公积金、生活补助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252.71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20.19</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电费、邮电费、差旅费、维修（护）费、会议费、公务接待费、劳务费、委托业务费、工会经费、福利费、其他交通费用、其他商品和服务支出、办公设备购置。</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hint="eastAsia" w:ascii="宋体" w:hAnsi="宋体" w:eastAsia="宋体"/>
          <w:sz w:val="32"/>
          <w:szCs w:val="32"/>
          <w:lang w:val="en-US" w:eastAsia="zh-CN"/>
        </w:rPr>
      </w:pPr>
      <w:r>
        <w:rPr>
          <w:rFonts w:hint="eastAsia" w:asciiTheme="minorEastAsia" w:hAnsiTheme="minorEastAsia" w:eastAsiaTheme="minorEastAsia"/>
          <w:sz w:val="32"/>
          <w:szCs w:val="32"/>
        </w:rPr>
        <w:t>2021年度</w:t>
      </w:r>
      <w:r>
        <w:rPr>
          <w:rFonts w:hint="eastAsia" w:ascii="仿宋_GB2312" w:hAnsi="仿宋" w:eastAsia="仿宋_GB2312"/>
          <w:color w:val="FF0000"/>
          <w:sz w:val="32"/>
          <w:szCs w:val="32"/>
        </w:rPr>
        <w:t xml:space="preserve"> </w:t>
      </w:r>
      <w:r>
        <w:rPr>
          <w:rFonts w:hint="eastAsia" w:ascii="宋体" w:hAnsi="宋体" w:eastAsia="宋体"/>
          <w:sz w:val="32"/>
          <w:szCs w:val="32"/>
        </w:rPr>
        <w:t>“三公”经费财政拨款支出预算为</w:t>
      </w:r>
      <w:r>
        <w:rPr>
          <w:rFonts w:hint="eastAsia" w:ascii="宋体" w:hAnsi="宋体" w:eastAsia="宋体"/>
          <w:color w:val="000000"/>
          <w:sz w:val="32"/>
          <w:szCs w:val="32"/>
        </w:rPr>
        <w:t>7.6</w:t>
      </w:r>
      <w:r>
        <w:rPr>
          <w:rFonts w:hint="eastAsia" w:ascii="宋体" w:hAnsi="宋体" w:eastAsia="宋体"/>
          <w:sz w:val="32"/>
          <w:szCs w:val="32"/>
        </w:rPr>
        <w:t>万元，支出决算为</w:t>
      </w:r>
      <w:r>
        <w:rPr>
          <w:rFonts w:hint="eastAsia" w:ascii="仿宋" w:hAnsi="仿宋" w:eastAsia="仿宋" w:cs="仿宋"/>
          <w:color w:val="000000"/>
          <w:sz w:val="32"/>
          <w:szCs w:val="32"/>
        </w:rPr>
        <w:t>3.64</w:t>
      </w:r>
      <w:r>
        <w:rPr>
          <w:rFonts w:hint="eastAsia" w:ascii="宋体" w:hAnsi="宋体" w:eastAsia="宋体"/>
          <w:sz w:val="32"/>
          <w:szCs w:val="32"/>
        </w:rPr>
        <w:t>万元，完成预算的</w:t>
      </w:r>
      <w:r>
        <w:rPr>
          <w:rFonts w:hint="eastAsia" w:ascii="宋体" w:hAnsi="宋体" w:eastAsia="宋体"/>
          <w:color w:val="000000"/>
          <w:sz w:val="32"/>
          <w:szCs w:val="32"/>
        </w:rPr>
        <w:t>47.89</w:t>
      </w:r>
      <w:r>
        <w:rPr>
          <w:rFonts w:hint="eastAsia" w:ascii="宋体" w:hAnsi="宋体" w:eastAsia="宋体"/>
          <w:sz w:val="32"/>
          <w:szCs w:val="32"/>
        </w:rPr>
        <w:t>%，</w:t>
      </w:r>
      <w:r>
        <w:rPr>
          <w:rFonts w:hint="eastAsia" w:ascii="宋体" w:hAnsi="宋体" w:eastAsia="宋体"/>
          <w:sz w:val="32"/>
          <w:szCs w:val="32"/>
          <w:lang w:val="en-US" w:eastAsia="zh-CN"/>
        </w:rPr>
        <w:t>其中：</w:t>
      </w:r>
    </w:p>
    <w:p>
      <w:pPr>
        <w:pStyle w:val="10"/>
        <w:ind w:firstLine="640" w:firstLineChars="200"/>
        <w:rPr>
          <w:rFonts w:ascii="宋体" w:hAnsi="宋体" w:eastAsia="宋体"/>
          <w:sz w:val="32"/>
          <w:szCs w:val="32"/>
          <w:highlight w:val="none"/>
        </w:rPr>
      </w:pPr>
      <w:r>
        <w:rPr>
          <w:rFonts w:hint="eastAsia" w:ascii="宋体" w:hAnsi="宋体" w:eastAsia="宋体"/>
          <w:sz w:val="32"/>
          <w:szCs w:val="32"/>
        </w:rPr>
        <w:t>因公出国（境）费支出预算为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万元，由于预算数为0，无法计算百分比</w:t>
      </w:r>
      <w:r>
        <w:rPr>
          <w:rFonts w:hint="eastAsia" w:ascii="宋体" w:hAnsi="宋体" w:eastAsia="宋体"/>
          <w:sz w:val="32"/>
          <w:szCs w:val="32"/>
          <w:lang w:eastAsia="zh-CN"/>
        </w:rPr>
        <w:t>。</w:t>
      </w:r>
      <w:r>
        <w:rPr>
          <w:rFonts w:hint="eastAsia" w:ascii="宋体" w:hAnsi="宋体" w:eastAsia="宋体"/>
          <w:sz w:val="32"/>
          <w:szCs w:val="32"/>
          <w:highlight w:val="none"/>
        </w:rPr>
        <w:t>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预算数的主要原因是</w:t>
      </w:r>
      <w:r>
        <w:rPr>
          <w:rFonts w:hint="eastAsia" w:ascii="宋体" w:hAnsi="宋体" w:eastAsia="宋体"/>
          <w:sz w:val="32"/>
          <w:szCs w:val="32"/>
          <w:highlight w:val="none"/>
          <w:lang w:eastAsia="zh-CN"/>
        </w:rPr>
        <w:t>本年度没有因公出国也没有做预算</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没有变动</w:t>
      </w:r>
      <w:r>
        <w:rPr>
          <w:rFonts w:hint="eastAsia" w:ascii="宋体" w:hAnsi="宋体" w:eastAsia="宋体"/>
          <w:sz w:val="32"/>
          <w:szCs w:val="32"/>
          <w:highlight w:val="none"/>
        </w:rPr>
        <w:t>，</w:t>
      </w:r>
      <w:r>
        <w:rPr>
          <w:rFonts w:hint="eastAsia" w:ascii="宋体" w:hAnsi="宋体" w:eastAsia="宋体"/>
          <w:sz w:val="32"/>
          <w:szCs w:val="32"/>
          <w:highlight w:val="none"/>
          <w:lang w:val="en-US" w:eastAsia="zh-CN"/>
        </w:rPr>
        <w:t>原因是2021年未发生该项费用支出</w:t>
      </w:r>
      <w:r>
        <w:rPr>
          <w:rFonts w:hint="eastAsia" w:ascii="宋体" w:hAnsi="宋体" w:eastAsia="宋体"/>
          <w:sz w:val="32"/>
          <w:szCs w:val="32"/>
          <w:highlight w:val="none"/>
        </w:rPr>
        <w:t>。</w:t>
      </w:r>
    </w:p>
    <w:p>
      <w:pPr>
        <w:pStyle w:val="10"/>
        <w:snapToGrid w:val="0"/>
        <w:spacing w:line="520" w:lineRule="exact"/>
        <w:ind w:firstLine="640" w:firstLineChars="200"/>
        <w:rPr>
          <w:rFonts w:hint="eastAsia" w:ascii="宋体" w:hAnsi="宋体" w:eastAsia="宋体"/>
          <w:color w:val="auto"/>
          <w:sz w:val="32"/>
          <w:szCs w:val="32"/>
        </w:rPr>
      </w:pPr>
      <w:r>
        <w:rPr>
          <w:rFonts w:hint="eastAsia" w:ascii="宋体" w:hAnsi="宋体" w:eastAsia="宋体"/>
          <w:sz w:val="32"/>
          <w:szCs w:val="32"/>
        </w:rPr>
        <w:t>公务接待费支出预算为</w:t>
      </w:r>
      <w:r>
        <w:rPr>
          <w:rFonts w:hint="eastAsia" w:ascii="宋体" w:hAnsi="宋体" w:eastAsia="宋体"/>
          <w:color w:val="000000"/>
          <w:sz w:val="32"/>
          <w:szCs w:val="32"/>
        </w:rPr>
        <w:t>7.6</w:t>
      </w:r>
      <w:r>
        <w:rPr>
          <w:rFonts w:hint="eastAsia" w:ascii="宋体" w:hAnsi="宋体" w:eastAsia="宋体"/>
          <w:sz w:val="32"/>
          <w:szCs w:val="32"/>
        </w:rPr>
        <w:t>万元，支出决算为</w:t>
      </w:r>
      <w:r>
        <w:rPr>
          <w:rFonts w:hint="eastAsia" w:ascii="宋体" w:hAnsi="宋体" w:eastAsia="宋体" w:cs="黑体"/>
          <w:color w:val="000000"/>
          <w:sz w:val="32"/>
          <w:szCs w:val="32"/>
        </w:rPr>
        <w:t>3.64</w:t>
      </w:r>
      <w:r>
        <w:rPr>
          <w:rFonts w:hint="eastAsia" w:ascii="宋体" w:hAnsi="宋体" w:eastAsia="宋体"/>
          <w:sz w:val="32"/>
          <w:szCs w:val="32"/>
        </w:rPr>
        <w:t>万元，完成预算的</w:t>
      </w:r>
      <w:r>
        <w:rPr>
          <w:rFonts w:hint="eastAsia" w:ascii="宋体" w:hAnsi="宋体" w:eastAsia="宋体"/>
          <w:color w:val="000000"/>
          <w:sz w:val="32"/>
          <w:szCs w:val="32"/>
        </w:rPr>
        <w:t>47.89</w:t>
      </w:r>
      <w:r>
        <w:rPr>
          <w:rFonts w:hint="eastAsia" w:ascii="宋体" w:hAnsi="宋体" w:eastAsia="宋体"/>
          <w:sz w:val="32"/>
          <w:szCs w:val="32"/>
        </w:rPr>
        <w:t>%，决算数小于预算数的主要原因是开支缩减，较上年减少1.45万元，降低28.43%。主要原因为精简三公经费开支</w:t>
      </w:r>
      <w:r>
        <w:rPr>
          <w:rFonts w:hint="eastAsia" w:ascii="宋体" w:hAnsi="宋体" w:eastAsia="宋体"/>
          <w:color w:val="auto"/>
          <w:sz w:val="32"/>
          <w:szCs w:val="32"/>
        </w:rPr>
        <w:t>。</w:t>
      </w:r>
    </w:p>
    <w:p>
      <w:pPr>
        <w:pStyle w:val="10"/>
        <w:snapToGrid w:val="0"/>
        <w:spacing w:line="520" w:lineRule="exact"/>
        <w:ind w:firstLine="640" w:firstLineChars="200"/>
        <w:rPr>
          <w:rFonts w:hint="eastAsia" w:ascii="宋体" w:hAnsi="宋体" w:eastAsia="宋体"/>
          <w:color w:val="auto"/>
          <w:sz w:val="32"/>
          <w:szCs w:val="32"/>
          <w:highlight w:val="red"/>
        </w:rPr>
      </w:pPr>
      <w:r>
        <w:rPr>
          <w:rFonts w:hint="eastAsia" w:ascii="宋体" w:hAnsi="宋体" w:eastAsia="宋体"/>
          <w:sz w:val="32"/>
          <w:szCs w:val="32"/>
        </w:rPr>
        <w:t>公务用车购置费及运行维护费支出预算为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万元，由于预算数为0，无法计算百分比</w:t>
      </w:r>
      <w:r>
        <w:rPr>
          <w:rFonts w:hint="eastAsia" w:ascii="宋体" w:hAnsi="宋体" w:eastAsia="宋体"/>
          <w:sz w:val="32"/>
          <w:szCs w:val="32"/>
          <w:lang w:eastAsia="zh-CN"/>
        </w:rPr>
        <w:t>。</w:t>
      </w:r>
      <w:r>
        <w:rPr>
          <w:rFonts w:hint="eastAsia" w:ascii="宋体" w:hAnsi="宋体" w:eastAsia="宋体"/>
          <w:sz w:val="32"/>
          <w:szCs w:val="32"/>
          <w:highlight w:val="none"/>
        </w:rPr>
        <w:t>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预算数的主要原因是</w:t>
      </w:r>
      <w:r>
        <w:rPr>
          <w:rFonts w:hint="eastAsia" w:ascii="宋体" w:hAnsi="宋体" w:eastAsia="宋体"/>
          <w:sz w:val="32"/>
          <w:szCs w:val="32"/>
          <w:highlight w:val="none"/>
          <w:lang w:eastAsia="zh-CN"/>
        </w:rPr>
        <w:t>本年度没有购置车辆也没有这方面的预算</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没有变动</w:t>
      </w:r>
      <w:r>
        <w:rPr>
          <w:rFonts w:hint="eastAsia" w:ascii="宋体" w:hAnsi="宋体" w:eastAsia="宋体"/>
          <w:sz w:val="32"/>
          <w:szCs w:val="32"/>
          <w:highlight w:val="none"/>
        </w:rPr>
        <w:t>，</w:t>
      </w:r>
      <w:r>
        <w:rPr>
          <w:rFonts w:hint="eastAsia" w:ascii="宋体" w:hAnsi="宋体" w:eastAsia="宋体"/>
          <w:sz w:val="32"/>
          <w:szCs w:val="32"/>
          <w:highlight w:val="none"/>
          <w:lang w:val="en-US" w:eastAsia="zh-CN"/>
        </w:rPr>
        <w:t>原因是2021年未发生该项费用支出</w:t>
      </w:r>
      <w:r>
        <w:rPr>
          <w:rFonts w:hint="eastAsia" w:ascii="宋体" w:hAnsi="宋体" w:eastAsia="宋体"/>
          <w:sz w:val="32"/>
          <w:szCs w:val="32"/>
          <w:highlight w:val="none"/>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Theme="minorEastAsia" w:hAnsiTheme="minorEastAsia" w:eastAsiaTheme="minorEastAsia"/>
          <w:sz w:val="32"/>
          <w:szCs w:val="32"/>
        </w:rPr>
        <w:t>公务接待费支出决算</w:t>
      </w:r>
      <w:r>
        <w:rPr>
          <w:rFonts w:hint="eastAsia" w:asciiTheme="minorEastAsia" w:hAnsiTheme="minorEastAsia" w:eastAsiaTheme="minorEastAsia"/>
          <w:sz w:val="32"/>
          <w:szCs w:val="32"/>
          <w:lang w:val="en-US" w:eastAsia="zh-CN"/>
        </w:rPr>
        <w:t>3.64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Theme="minorEastAsia" w:hAnsiTheme="minorEastAsia" w:eastAsiaTheme="minorEastAsia"/>
          <w:sz w:val="32"/>
          <w:szCs w:val="32"/>
        </w:rPr>
        <w:t>。其中：</w:t>
      </w:r>
    </w:p>
    <w:p>
      <w:pPr>
        <w:pStyle w:val="10"/>
        <w:ind w:firstLine="800" w:firstLineChars="250"/>
        <w:rPr>
          <w:rFonts w:hint="eastAsia" w:eastAsia="宋体" w:asciiTheme="minorEastAsia" w:hAnsiTheme="minorEastAsia"/>
          <w:sz w:val="32"/>
          <w:szCs w:val="32"/>
          <w:lang w:val="en-US" w:eastAsia="zh-CN"/>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3.64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104</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招商引资、两新述职评议会议、五四宣讲等</w:t>
      </w:r>
      <w:r>
        <w:rPr>
          <w:rFonts w:hint="eastAsia" w:asciiTheme="minorEastAsia" w:hAnsiTheme="minorEastAsia" w:eastAsiaTheme="minorEastAsia"/>
          <w:sz w:val="32"/>
          <w:szCs w:val="32"/>
        </w:rPr>
        <w:t>发生的接待支出。</w:t>
      </w:r>
      <w:bookmarkStart w:id="2" w:name="_GoBack"/>
      <w:bookmarkEnd w:id="2"/>
    </w:p>
    <w:p>
      <w:pPr>
        <w:ind w:firstLine="800" w:firstLineChars="250"/>
        <w:rPr>
          <w:rFonts w:cs="黑体" w:asciiTheme="minorEastAsia" w:hAnsiTheme="minorEastAsia"/>
          <w:color w:val="000000"/>
          <w:kern w:val="0"/>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公务用车购置费及运行维护费支出决算为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万元，单位本级更新公务用车</w:t>
      </w:r>
      <w:r>
        <w:rPr>
          <w:rFonts w:hint="eastAsia" w:ascii="宋体" w:hAnsi="宋体" w:eastAsia="宋体" w:cs="宋体"/>
          <w:sz w:val="32"/>
          <w:szCs w:val="32"/>
          <w:lang w:val="en-US" w:eastAsia="zh-CN"/>
        </w:rPr>
        <w:t>0</w:t>
      </w:r>
      <w:r>
        <w:rPr>
          <w:rFonts w:hint="eastAsia" w:ascii="宋体" w:hAnsi="宋体" w:eastAsia="宋体" w:cs="宋体"/>
          <w:sz w:val="32"/>
          <w:szCs w:val="32"/>
        </w:rPr>
        <w:t>辆。公务用车运行维护费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万元，截止202</w:t>
      </w:r>
      <w:r>
        <w:rPr>
          <w:rFonts w:hint="eastAsia" w:ascii="宋体" w:hAnsi="宋体" w:eastAsia="宋体" w:cs="宋体"/>
          <w:sz w:val="32"/>
          <w:szCs w:val="32"/>
          <w:lang w:val="en-US" w:eastAsia="zh-CN"/>
        </w:rPr>
        <w:t>1</w:t>
      </w:r>
      <w:r>
        <w:rPr>
          <w:rFonts w:hint="eastAsia" w:ascii="宋体" w:hAnsi="宋体" w:eastAsia="宋体" w:cs="宋体"/>
          <w:sz w:val="32"/>
          <w:szCs w:val="32"/>
        </w:rPr>
        <w:t>年12月31日，我单位开支财政拨款的公务用车保有量为</w:t>
      </w:r>
      <w:r>
        <w:rPr>
          <w:rFonts w:hint="eastAsia" w:ascii="宋体" w:hAnsi="宋体" w:eastAsia="宋体" w:cs="宋体"/>
          <w:sz w:val="32"/>
          <w:szCs w:val="32"/>
          <w:lang w:val="en-US" w:eastAsia="zh-CN"/>
        </w:rPr>
        <w:t>0</w:t>
      </w:r>
      <w:r>
        <w:rPr>
          <w:rFonts w:hint="eastAsia" w:ascii="宋体" w:hAnsi="宋体" w:eastAsia="宋体" w:cs="宋体"/>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城市基础设施配套费安排的支出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城市公共设施</w:t>
      </w:r>
      <w:r>
        <w:rPr>
          <w:rFonts w:hint="eastAsia" w:asciiTheme="minorEastAsia" w:hAnsiTheme="minorEastAsia" w:eastAsiaTheme="minorEastAsia"/>
          <w:sz w:val="32"/>
          <w:szCs w:val="32"/>
        </w:rPr>
        <w:t>（项）。</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年中追加</w:t>
      </w:r>
      <w:r>
        <w:rPr>
          <w:rFonts w:hint="eastAsia" w:asciiTheme="minorEastAsia" w:hAnsiTheme="minorEastAsia" w:eastAsiaTheme="minorEastAsia"/>
          <w:sz w:val="32"/>
          <w:szCs w:val="32"/>
          <w:lang w:val="en-US" w:eastAsia="zh-CN"/>
        </w:rPr>
        <w:t>3万元。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252.71</w:t>
      </w:r>
      <w:r>
        <w:rPr>
          <w:rFonts w:hint="eastAsia" w:asciiTheme="minorEastAsia" w:hAnsiTheme="minorEastAsia" w:eastAsiaTheme="minorEastAsia"/>
          <w:sz w:val="32"/>
          <w:szCs w:val="32"/>
        </w:rPr>
        <w:t>万元，上年决算数增加</w:t>
      </w:r>
      <w:r>
        <w:rPr>
          <w:rFonts w:hint="eastAsia" w:asciiTheme="minorEastAsia" w:hAnsiTheme="minorEastAsia" w:eastAsiaTheme="minorEastAsia"/>
          <w:sz w:val="32"/>
          <w:szCs w:val="32"/>
          <w:lang w:val="en-US" w:eastAsia="zh-CN"/>
        </w:rPr>
        <w:t>150.58</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147.44</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工会活动的大力增加。</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5.69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lang w:val="en-US" w:eastAsia="zh-CN"/>
        </w:rPr>
        <w:t>人数820人，</w:t>
      </w:r>
      <w:r>
        <w:rPr>
          <w:rFonts w:hint="eastAsia" w:asciiTheme="minorEastAsia" w:hAnsiTheme="minorEastAsia" w:eastAsiaTheme="minorEastAsia"/>
          <w:sz w:val="32"/>
          <w:szCs w:val="32"/>
        </w:rPr>
        <w:t>用于召开</w:t>
      </w:r>
      <w:r>
        <w:rPr>
          <w:rFonts w:hint="eastAsia" w:asciiTheme="minorEastAsia" w:hAnsiTheme="minorEastAsia" w:eastAsiaTheme="minorEastAsia"/>
          <w:sz w:val="32"/>
          <w:szCs w:val="32"/>
          <w:lang w:val="en-US" w:eastAsia="zh-CN"/>
        </w:rPr>
        <w:t>2021年专项</w:t>
      </w:r>
      <w:r>
        <w:rPr>
          <w:rFonts w:hint="eastAsia" w:asciiTheme="minorEastAsia" w:hAnsiTheme="minorEastAsia" w:eastAsiaTheme="minorEastAsia"/>
          <w:sz w:val="32"/>
          <w:szCs w:val="32"/>
        </w:rPr>
        <w:t>会议；开支培训费</w:t>
      </w:r>
      <w:r>
        <w:rPr>
          <w:rFonts w:hint="eastAsia" w:asciiTheme="minorEastAsia" w:hAnsiTheme="minorEastAsia" w:eastAsiaTheme="minorEastAsia"/>
          <w:sz w:val="32"/>
          <w:szCs w:val="32"/>
          <w:lang w:val="en-US" w:eastAsia="zh-CN"/>
        </w:rPr>
        <w:t>78.08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人数900人</w:t>
      </w:r>
      <w:r>
        <w:rPr>
          <w:rFonts w:hint="eastAsia" w:asciiTheme="minorEastAsia" w:hAnsiTheme="minorEastAsia" w:eastAsiaTheme="minorEastAsia"/>
          <w:sz w:val="32"/>
          <w:szCs w:val="32"/>
        </w:rPr>
        <w:t>，用于开展</w:t>
      </w:r>
      <w:r>
        <w:rPr>
          <w:rFonts w:hint="eastAsia" w:asciiTheme="minorEastAsia" w:hAnsiTheme="minorEastAsia" w:eastAsiaTheme="minorEastAsia"/>
          <w:sz w:val="32"/>
          <w:szCs w:val="32"/>
          <w:lang w:eastAsia="zh-CN"/>
        </w:rPr>
        <w:t>干部教育、“学党史、两重温”党性教育、华为杭州</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lang w:val="en-US" w:eastAsia="zh-CN"/>
        </w:rPr>
        <w:t>未</w:t>
      </w:r>
      <w:r>
        <w:rPr>
          <w:rFonts w:hint="eastAsia" w:ascii="宋体" w:hAnsi="宋体" w:eastAsia="宋体"/>
          <w:sz w:val="32"/>
          <w:szCs w:val="32"/>
        </w:rPr>
        <w:t>举办节庆、晚会、论坛、赛事活动</w:t>
      </w:r>
      <w:r>
        <w:rPr>
          <w:rFonts w:hint="eastAsia" w:ascii="宋体" w:hAnsi="宋体" w:eastAsia="宋体"/>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宋体" w:hAnsi="宋体" w:eastAsia="宋体"/>
          <w:sz w:val="32"/>
          <w:szCs w:val="32"/>
        </w:rPr>
        <w:t>截至202</w:t>
      </w:r>
      <w:r>
        <w:rPr>
          <w:rFonts w:hint="eastAsia" w:ascii="宋体" w:hAnsi="宋体" w:eastAsia="宋体"/>
          <w:sz w:val="32"/>
          <w:szCs w:val="32"/>
          <w:lang w:val="en-US" w:eastAsia="zh-CN"/>
        </w:rPr>
        <w:t>1</w:t>
      </w:r>
      <w:r>
        <w:rPr>
          <w:rFonts w:hint="eastAsia" w:ascii="宋体" w:hAnsi="宋体" w:eastAsia="宋体"/>
          <w:sz w:val="32"/>
          <w:szCs w:val="32"/>
        </w:rPr>
        <w:t>年12月31日，本单位共有车辆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绩效管理评价工作开展情况</w:t>
      </w:r>
      <w:r>
        <w:rPr>
          <w:rFonts w:hint="eastAsia" w:cs="黑体" w:asciiTheme="minorEastAsia" w:hAnsiTheme="minorEastAsia"/>
          <w:color w:val="000000"/>
          <w:kern w:val="0"/>
          <w:sz w:val="32"/>
          <w:szCs w:val="32"/>
        </w:rPr>
        <w:t>。</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干部教育培训：安排全区干部教育培训经费50万元，完成年度干部教育培训目标。2021年度干部教育外出培训批次4次；提升干部综合素质；干部满意度90%以上。</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基层党建工作经费：安排基层党建经费59万元，完成全区基层党建重点工作任务。有序推进谢林港镇换届选举工作；扎实抓好全区12个基层党（工）委、25个党总支和219个基层支部书记述职评议工作；持续整顿软弱涣散基层党组织，年初确定的2个两新党组织全部在规定的时限内完成了整改销号；深入推进基层公共服务（一门式）全覆盖；举办入党积极分子和党员发展对象培训班3期，全年发展党员200名；切实发挥党组织战斗堡垒作用；基层干部群众满意度90%以上。</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党群活动中心影视文化中心运营经费：党群活动中心影视文化中心运营经费138万元。保障园区党群活动中心影视文化中心正常运转。确保提升党群活动中心影视文化中心服务水平；园区干群满意度90%以上。</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城区居民小区党建：全区城市居民小区党建200万元。把小区党支部组建起来，把小区党群服务站建设起来，把小区党支部引领基层治理的机制建立起来，把小区居民党员的作用发挥起来，把小区各类治理主体组织动员起来，把小区居民群众凝聚发动起来，推进城市基层党建工作高质量发展。2021年完成支部和阵地建设；实现城市基层党的组织全覆盖；党员群众满意度达90%以上。</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非公党建经费：非公党建经费（含企业补助）210万元。完成非公党建年度重点工作任务。新成立实体性党支部7个、流动性党支部15个，撤销空壳党支部5个，指导31个两新党组织完成换届；实现非公组织全覆盖；党员群众满意度达90%以上。</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村委换届选举及新任班子培训费：村委换届选举及新任班子培训费。完成村委换届选举及新任班子培训。村（社区）换届选举2万元/个，村干部培训1批次；夯实基层政权；党员群众满意度达90%以上。</w:t>
      </w:r>
    </w:p>
    <w:tbl>
      <w:tblPr>
        <w:tblStyle w:val="6"/>
        <w:tblW w:w="10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8" w:hRule="atLeast"/>
        </w:trPr>
        <w:tc>
          <w:tcPr>
            <w:tcW w:w="1098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2021年，本单位按照有关政策文件和高新区财政局要求开展预算绩效管理工作，一是加强绩效目标管理。在编制2021年部门预算时，本单位将所有预算资金纳入绩效目标管理，实现了绩效目标与部门预算同步编制、同步申报。在规定时间内，高新区财政局将绩效目标批复给本单位作为预算执行和监督的依据。二是开展绩效运行跟踪监控。按照高新区财政局的要求，我单位对项目执行情况存在的问题及时予以纠正。三是做好绩效自评和结果公开。根据高新区财政局要求，本单位抽调专人成立绩效评价工作小组，对2021年部门整体支出和项目经费开展绩效自评，将自评结果在本单位网站进行公开。本单位2021年没有重点项目预算。</w:t>
            </w:r>
          </w:p>
        </w:tc>
      </w:tr>
    </w:tbl>
    <w:p>
      <w:pPr>
        <w:pStyle w:val="10"/>
        <w:jc w:val="both"/>
        <w:rPr>
          <w:sz w:val="72"/>
          <w:szCs w:val="72"/>
        </w:rPr>
      </w:pPr>
    </w:p>
    <w:p>
      <w:pPr>
        <w:pStyle w:val="10"/>
        <w:jc w:val="both"/>
        <w:rPr>
          <w:sz w:val="72"/>
          <w:szCs w:val="72"/>
        </w:rPr>
      </w:pPr>
    </w:p>
    <w:p>
      <w:pPr>
        <w:pStyle w:val="10"/>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tbl>
      <w:tblPr>
        <w:tblStyle w:val="6"/>
        <w:tblW w:w="10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3" w:hRule="atLeast"/>
        </w:trPr>
        <w:tc>
          <w:tcPr>
            <w:tcW w:w="1074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32"/>
                <w:szCs w:val="32"/>
                <w:u w:val="none"/>
              </w:rPr>
            </w:pPr>
            <w:r>
              <w:rPr>
                <w:rStyle w:val="13"/>
                <w:sz w:val="32"/>
                <w:szCs w:val="32"/>
                <w:lang w:val="en-US" w:eastAsia="zh-CN" w:bidi="ar"/>
              </w:rPr>
              <w:t>1、财政拨款收入：指市财政当年拨付的资金。</w:t>
            </w:r>
            <w:r>
              <w:rPr>
                <w:rStyle w:val="13"/>
                <w:sz w:val="32"/>
                <w:szCs w:val="32"/>
                <w:lang w:val="en-US" w:eastAsia="zh-CN" w:bidi="ar"/>
              </w:rPr>
              <w:br w:type="textWrapping"/>
            </w:r>
            <w:r>
              <w:rPr>
                <w:rStyle w:val="13"/>
                <w:sz w:val="32"/>
                <w:szCs w:val="32"/>
                <w:lang w:val="en-US" w:eastAsia="zh-CN" w:bidi="ar"/>
              </w:rPr>
              <w:t>2、其他收入：指除上述“财政拨款收入”、“事业收入”、“经营收入”等以外的收入。主要是按规定动用的售房收入、存款利息收入等。</w:t>
            </w:r>
            <w:r>
              <w:rPr>
                <w:rStyle w:val="13"/>
                <w:sz w:val="32"/>
                <w:szCs w:val="32"/>
                <w:lang w:val="en-US" w:eastAsia="zh-CN" w:bidi="ar"/>
              </w:rPr>
              <w:br w:type="textWrapping"/>
            </w:r>
            <w:r>
              <w:rPr>
                <w:rStyle w:val="13"/>
                <w:sz w:val="32"/>
                <w:szCs w:val="32"/>
                <w:lang w:val="en-US" w:eastAsia="zh-CN" w:bidi="ar"/>
              </w:rPr>
              <w:t>3、年初结转和结余：指以前年度尚未完成、结转到本年按有关规定继续使用的资金。</w:t>
            </w:r>
            <w:r>
              <w:rPr>
                <w:rStyle w:val="13"/>
                <w:sz w:val="32"/>
                <w:szCs w:val="32"/>
                <w:lang w:val="en-US" w:eastAsia="zh-CN" w:bidi="ar"/>
              </w:rPr>
              <w:br w:type="textWrapping"/>
            </w:r>
            <w:r>
              <w:rPr>
                <w:rStyle w:val="13"/>
                <w:sz w:val="32"/>
                <w:szCs w:val="32"/>
                <w:lang w:val="en-US" w:eastAsia="zh-CN" w:bidi="ar"/>
              </w:rPr>
              <w:t>4、年末结转和结余：指本年度或以前年度预算安排、因客观条件发生变化无法按原计划实施，需要延迟到以后年度按有关规定继续使用的资金。</w:t>
            </w:r>
            <w:r>
              <w:rPr>
                <w:rStyle w:val="13"/>
                <w:sz w:val="32"/>
                <w:szCs w:val="32"/>
                <w:lang w:val="en-US" w:eastAsia="zh-CN" w:bidi="ar"/>
              </w:rPr>
              <w:br w:type="textWrapping"/>
            </w:r>
            <w:r>
              <w:rPr>
                <w:rStyle w:val="13"/>
                <w:sz w:val="32"/>
                <w:szCs w:val="32"/>
                <w:lang w:val="en-US" w:eastAsia="zh-CN" w:bidi="ar"/>
              </w:rPr>
              <w:t>5、基本支出：指为保障机构正常运转、完成日常工作任务而发生的人员支出和公用支出。</w:t>
            </w:r>
            <w:r>
              <w:rPr>
                <w:rStyle w:val="13"/>
                <w:sz w:val="32"/>
                <w:szCs w:val="32"/>
                <w:lang w:val="en-US" w:eastAsia="zh-CN" w:bidi="ar"/>
              </w:rPr>
              <w:br w:type="textWrapping"/>
            </w:r>
            <w:r>
              <w:rPr>
                <w:rStyle w:val="13"/>
                <w:sz w:val="32"/>
                <w:szCs w:val="32"/>
                <w:lang w:val="en-US" w:eastAsia="zh-CN" w:bidi="ar"/>
              </w:rPr>
              <w:t>6、项目支出：指在基本支出之外为完成特定行政任务和事业发展目标所发生的支出。</w:t>
            </w:r>
            <w:r>
              <w:rPr>
                <w:rStyle w:val="13"/>
                <w:sz w:val="32"/>
                <w:szCs w:val="32"/>
                <w:lang w:val="en-US" w:eastAsia="zh-CN" w:bidi="ar"/>
              </w:rPr>
              <w:br w:type="textWrapping"/>
            </w:r>
            <w:r>
              <w:rPr>
                <w:rStyle w:val="13"/>
                <w:sz w:val="32"/>
                <w:szCs w:val="32"/>
                <w:lang w:val="en-US" w:eastAsia="zh-CN" w:bidi="ar"/>
              </w:rPr>
              <w:t>7、“三公”经费：纳入财政预决算管理的“三公”经费，是指部门用财政拨款安排的因公出国（境）费、公务用车购置及运行费和公务接待费。其 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Style w:val="13"/>
                <w:sz w:val="32"/>
                <w:szCs w:val="32"/>
                <w:lang w:val="en-US" w:eastAsia="zh-CN" w:bidi="ar"/>
              </w:rPr>
              <w:br w:type="textWrapping"/>
            </w:r>
            <w:r>
              <w:rPr>
                <w:rStyle w:val="13"/>
                <w:sz w:val="32"/>
                <w:szCs w:val="32"/>
                <w:lang w:val="en-US" w:eastAsia="zh-CN" w:bidi="ar"/>
              </w:rPr>
              <w:t>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tc>
      </w:tr>
    </w:tbl>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2021年度益阳高新区组织工作局</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部门整体支出绩效评价报告</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b/>
          <w:bCs/>
          <w:i w:val="0"/>
          <w:caps w:val="0"/>
          <w:color w:val="auto"/>
          <w:spacing w:val="0"/>
          <w:sz w:val="32"/>
          <w:szCs w:val="32"/>
          <w:shd w:val="clear" w:fill="FFFFFF"/>
          <w:lang w:eastAsia="zh-CN"/>
        </w:rPr>
      </w:pPr>
      <w:r>
        <w:rPr>
          <w:rFonts w:hint="eastAsia" w:ascii="方正黑体_GBK" w:hAnsi="方正黑体_GBK" w:eastAsia="方正黑体_GBK" w:cs="方正黑体_GBK"/>
          <w:b/>
          <w:bCs/>
          <w:i w:val="0"/>
          <w:caps w:val="0"/>
          <w:color w:val="auto"/>
          <w:spacing w:val="0"/>
          <w:sz w:val="32"/>
          <w:szCs w:val="32"/>
          <w:shd w:val="clear" w:fill="FFFFFF"/>
          <w:lang w:eastAsia="zh-CN"/>
        </w:rPr>
        <w:t>基本情况</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高新区组织工作局为益阳高新区党工委、管委会内设机构，主要负责全区党建、党组织和党员队伍管理、党务公开等工作；负责全区人事调配、人才引进、专业技术职称评聘申报、工资福利、老干部服务和未成年人管理、社会保险、干部教育培训、退役军人安置等工作；负责机构设置的调研工作，科学拟订部门职责和岗位职责；按照干部管理权限，负责工委管理干部的考察、公示、任免和考核、奖惩等工作；负责全区工会、共青团、妇联、民族宗教、工商联、侨联等工作；承担统战、人大政协联络等日常管理工作；负责全区绩效评估工作。</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部门整体支出概况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2021年度财政拨款决算收入1820.92万元。其中一般公共预算财政拨款收入1817.92万元，政府性基金预算财政拨款3万元。2021年度财政拨款决算支出总计1820.92万元。</w:t>
      </w:r>
      <w:r>
        <w:rPr>
          <w:rFonts w:hint="eastAsia" w:ascii="仿宋_GB2312" w:hAnsi="仿宋_GB2312" w:eastAsia="仿宋_GB2312" w:cs="仿宋_GB2312"/>
          <w:b w:val="0"/>
          <w:i w:val="0"/>
          <w:caps w:val="0"/>
          <w:color w:val="auto"/>
          <w:spacing w:val="0"/>
          <w:sz w:val="32"/>
          <w:szCs w:val="32"/>
          <w:shd w:val="clear" w:fill="FFFFFF"/>
        </w:rPr>
        <w:t>按功能分类科目分为:一般公共服务支出</w:t>
      </w:r>
      <w:r>
        <w:rPr>
          <w:rFonts w:hint="eastAsia" w:ascii="仿宋_GB2312" w:hAnsi="仿宋_GB2312" w:eastAsia="仿宋_GB2312" w:cs="仿宋_GB2312"/>
          <w:b w:val="0"/>
          <w:i w:val="0"/>
          <w:caps w:val="0"/>
          <w:color w:val="auto"/>
          <w:spacing w:val="0"/>
          <w:sz w:val="32"/>
          <w:szCs w:val="32"/>
          <w:shd w:val="clear" w:fill="FFFFFF"/>
          <w:lang w:val="en-US" w:eastAsia="zh-CN"/>
        </w:rPr>
        <w:t>1211.75</w:t>
      </w:r>
      <w:r>
        <w:rPr>
          <w:rFonts w:hint="eastAsia" w:ascii="仿宋_GB2312" w:hAnsi="仿宋_GB2312" w:eastAsia="仿宋_GB2312" w:cs="仿宋_GB2312"/>
          <w:b w:val="0"/>
          <w:i w:val="0"/>
          <w:caps w:val="0"/>
          <w:color w:val="auto"/>
          <w:spacing w:val="0"/>
          <w:sz w:val="32"/>
          <w:szCs w:val="32"/>
          <w:shd w:val="clear" w:fill="FFFFFF"/>
        </w:rPr>
        <w:t>万元；社会保障和就业支出312</w:t>
      </w:r>
      <w:r>
        <w:rPr>
          <w:rFonts w:hint="eastAsia" w:ascii="仿宋_GB2312" w:hAnsi="仿宋_GB2312" w:eastAsia="仿宋_GB2312" w:cs="仿宋_GB2312"/>
          <w:b w:val="0"/>
          <w:i w:val="0"/>
          <w:caps w:val="0"/>
          <w:color w:val="auto"/>
          <w:spacing w:val="0"/>
          <w:sz w:val="32"/>
          <w:szCs w:val="32"/>
          <w:shd w:val="clear" w:fill="FFFFFF"/>
          <w:lang w:val="en-US" w:eastAsia="zh-CN"/>
        </w:rPr>
        <w:t>.</w:t>
      </w:r>
      <w:r>
        <w:rPr>
          <w:rFonts w:hint="eastAsia" w:ascii="仿宋_GB2312" w:hAnsi="仿宋_GB2312" w:eastAsia="仿宋_GB2312" w:cs="仿宋_GB2312"/>
          <w:b w:val="0"/>
          <w:i w:val="0"/>
          <w:caps w:val="0"/>
          <w:color w:val="auto"/>
          <w:spacing w:val="0"/>
          <w:sz w:val="32"/>
          <w:szCs w:val="32"/>
          <w:shd w:val="clear" w:fill="FFFFFF"/>
        </w:rPr>
        <w:t>02万元；</w:t>
      </w:r>
      <w:r>
        <w:rPr>
          <w:rFonts w:hint="eastAsia" w:ascii="仿宋_GB2312" w:hAnsi="仿宋_GB2312" w:eastAsia="仿宋_GB2312" w:cs="仿宋_GB2312"/>
          <w:b w:val="0"/>
          <w:i w:val="0"/>
          <w:caps w:val="0"/>
          <w:color w:val="auto"/>
          <w:spacing w:val="0"/>
          <w:sz w:val="32"/>
          <w:szCs w:val="32"/>
          <w:shd w:val="clear" w:fill="FFFFFF"/>
          <w:lang w:eastAsia="zh-CN"/>
        </w:rPr>
        <w:t>卫生健康</w:t>
      </w:r>
      <w:r>
        <w:rPr>
          <w:rFonts w:hint="eastAsia" w:ascii="仿宋_GB2312" w:hAnsi="仿宋_GB2312" w:eastAsia="仿宋_GB2312" w:cs="仿宋_GB2312"/>
          <w:b w:val="0"/>
          <w:i w:val="0"/>
          <w:caps w:val="0"/>
          <w:color w:val="auto"/>
          <w:spacing w:val="0"/>
          <w:sz w:val="32"/>
          <w:szCs w:val="32"/>
          <w:shd w:val="clear" w:fill="FFFFFF"/>
        </w:rPr>
        <w:t>支出253</w:t>
      </w:r>
      <w:r>
        <w:rPr>
          <w:rFonts w:hint="eastAsia" w:ascii="仿宋_GB2312" w:hAnsi="仿宋_GB2312" w:eastAsia="仿宋_GB2312" w:cs="仿宋_GB2312"/>
          <w:b w:val="0"/>
          <w:i w:val="0"/>
          <w:caps w:val="0"/>
          <w:color w:val="auto"/>
          <w:spacing w:val="0"/>
          <w:sz w:val="32"/>
          <w:szCs w:val="32"/>
          <w:shd w:val="clear" w:fill="FFFFFF"/>
          <w:lang w:val="en-US" w:eastAsia="zh-CN"/>
        </w:rPr>
        <w:t>.</w:t>
      </w:r>
      <w:r>
        <w:rPr>
          <w:rFonts w:hint="eastAsia" w:ascii="仿宋_GB2312" w:hAnsi="仿宋_GB2312" w:eastAsia="仿宋_GB2312" w:cs="仿宋_GB2312"/>
          <w:b w:val="0"/>
          <w:i w:val="0"/>
          <w:caps w:val="0"/>
          <w:color w:val="auto"/>
          <w:spacing w:val="0"/>
          <w:sz w:val="32"/>
          <w:szCs w:val="32"/>
          <w:shd w:val="clear" w:fill="FFFFFF"/>
        </w:rPr>
        <w:t>79万元；城乡社区支出3</w:t>
      </w:r>
      <w:r>
        <w:rPr>
          <w:rFonts w:hint="eastAsia" w:ascii="仿宋_GB2312" w:hAnsi="仿宋_GB2312" w:eastAsia="仿宋_GB2312" w:cs="仿宋_GB2312"/>
          <w:b w:val="0"/>
          <w:i w:val="0"/>
          <w:caps w:val="0"/>
          <w:color w:val="auto"/>
          <w:spacing w:val="0"/>
          <w:sz w:val="32"/>
          <w:szCs w:val="32"/>
          <w:shd w:val="clear" w:fill="FFFFFF"/>
          <w:lang w:eastAsia="zh-CN"/>
        </w:rPr>
        <w:t>万元；农林水支出12</w:t>
      </w:r>
      <w:r>
        <w:rPr>
          <w:rFonts w:hint="eastAsia" w:ascii="仿宋_GB2312" w:hAnsi="仿宋_GB2312" w:eastAsia="仿宋_GB2312" w:cs="仿宋_GB2312"/>
          <w:b w:val="0"/>
          <w:i w:val="0"/>
          <w:caps w:val="0"/>
          <w:color w:val="auto"/>
          <w:spacing w:val="0"/>
          <w:sz w:val="32"/>
          <w:szCs w:val="32"/>
          <w:shd w:val="clear" w:fill="FFFFFF"/>
          <w:lang w:val="en-US" w:eastAsia="zh-CN"/>
        </w:rPr>
        <w:t>.</w:t>
      </w:r>
      <w:r>
        <w:rPr>
          <w:rFonts w:hint="eastAsia" w:ascii="仿宋_GB2312" w:hAnsi="仿宋_GB2312" w:eastAsia="仿宋_GB2312" w:cs="仿宋_GB2312"/>
          <w:b w:val="0"/>
          <w:i w:val="0"/>
          <w:caps w:val="0"/>
          <w:color w:val="auto"/>
          <w:spacing w:val="0"/>
          <w:sz w:val="32"/>
          <w:szCs w:val="32"/>
          <w:shd w:val="clear" w:fill="FFFFFF"/>
          <w:lang w:eastAsia="zh-CN"/>
        </w:rPr>
        <w:t>8</w:t>
      </w:r>
      <w:r>
        <w:rPr>
          <w:rFonts w:hint="eastAsia" w:ascii="仿宋_GB2312" w:hAnsi="仿宋_GB2312" w:eastAsia="仿宋_GB2312" w:cs="仿宋_GB2312"/>
          <w:b w:val="0"/>
          <w:i w:val="0"/>
          <w:caps w:val="0"/>
          <w:color w:val="auto"/>
          <w:spacing w:val="0"/>
          <w:sz w:val="32"/>
          <w:szCs w:val="32"/>
          <w:shd w:val="clear" w:fill="FFFFFF"/>
          <w:lang w:val="en-US" w:eastAsia="zh-CN"/>
        </w:rPr>
        <w:t>1万元；</w:t>
      </w:r>
      <w:r>
        <w:rPr>
          <w:rFonts w:hint="eastAsia" w:ascii="仿宋_GB2312" w:hAnsi="仿宋_GB2312" w:eastAsia="仿宋_GB2312" w:cs="仿宋_GB2312"/>
          <w:b w:val="0"/>
          <w:i w:val="0"/>
          <w:caps w:val="0"/>
          <w:color w:val="auto"/>
          <w:spacing w:val="0"/>
          <w:sz w:val="32"/>
          <w:szCs w:val="32"/>
          <w:shd w:val="clear" w:fill="FFFFFF"/>
        </w:rPr>
        <w:t>住房保障支出27</w:t>
      </w:r>
      <w:r>
        <w:rPr>
          <w:rFonts w:hint="eastAsia" w:ascii="仿宋_GB2312" w:hAnsi="仿宋_GB2312" w:eastAsia="仿宋_GB2312" w:cs="仿宋_GB2312"/>
          <w:b w:val="0"/>
          <w:i w:val="0"/>
          <w:caps w:val="0"/>
          <w:color w:val="auto"/>
          <w:spacing w:val="0"/>
          <w:sz w:val="32"/>
          <w:szCs w:val="32"/>
          <w:shd w:val="clear" w:fill="FFFFFF"/>
          <w:lang w:val="en-US" w:eastAsia="zh-CN"/>
        </w:rPr>
        <w:t>.</w:t>
      </w:r>
      <w:r>
        <w:rPr>
          <w:rFonts w:hint="eastAsia" w:ascii="仿宋_GB2312" w:hAnsi="仿宋_GB2312" w:eastAsia="仿宋_GB2312" w:cs="仿宋_GB2312"/>
          <w:b w:val="0"/>
          <w:i w:val="0"/>
          <w:caps w:val="0"/>
          <w:color w:val="auto"/>
          <w:spacing w:val="0"/>
          <w:sz w:val="32"/>
          <w:szCs w:val="32"/>
          <w:shd w:val="clear" w:fill="FFFFFF"/>
        </w:rPr>
        <w:t>5</w:t>
      </w:r>
      <w:r>
        <w:rPr>
          <w:rFonts w:hint="eastAsia" w:ascii="仿宋_GB2312" w:hAnsi="仿宋_GB2312" w:eastAsia="仿宋_GB2312" w:cs="仿宋_GB2312"/>
          <w:b w:val="0"/>
          <w:i w:val="0"/>
          <w:caps w:val="0"/>
          <w:color w:val="auto"/>
          <w:spacing w:val="0"/>
          <w:sz w:val="32"/>
          <w:szCs w:val="32"/>
          <w:shd w:val="clear" w:fill="FFFFFF"/>
          <w:lang w:val="en-US" w:eastAsia="zh-CN"/>
        </w:rPr>
        <w:t>5</w:t>
      </w:r>
      <w:r>
        <w:rPr>
          <w:rFonts w:hint="eastAsia" w:ascii="仿宋_GB2312" w:hAnsi="仿宋_GB2312" w:eastAsia="仿宋_GB2312" w:cs="仿宋_GB2312"/>
          <w:b w:val="0"/>
          <w:i w:val="0"/>
          <w:caps w:val="0"/>
          <w:color w:val="auto"/>
          <w:spacing w:val="0"/>
          <w:sz w:val="32"/>
          <w:szCs w:val="32"/>
          <w:shd w:val="clear" w:fill="FFFFFF"/>
        </w:rPr>
        <w:t>万元。按支出</w:t>
      </w:r>
      <w:r>
        <w:rPr>
          <w:rFonts w:hint="eastAsia" w:ascii="仿宋_GB2312" w:hAnsi="仿宋_GB2312" w:eastAsia="仿宋_GB2312" w:cs="仿宋_GB2312"/>
          <w:b w:val="0"/>
          <w:i w:val="0"/>
          <w:caps w:val="0"/>
          <w:color w:val="auto"/>
          <w:spacing w:val="0"/>
          <w:sz w:val="32"/>
          <w:szCs w:val="32"/>
          <w:shd w:val="clear" w:fill="FFFFFF"/>
          <w:lang w:eastAsia="zh-CN"/>
        </w:rPr>
        <w:t>性质</w:t>
      </w:r>
      <w:r>
        <w:rPr>
          <w:rFonts w:hint="eastAsia" w:ascii="仿宋_GB2312" w:hAnsi="仿宋_GB2312" w:eastAsia="仿宋_GB2312" w:cs="仿宋_GB2312"/>
          <w:b w:val="0"/>
          <w:i w:val="0"/>
          <w:caps w:val="0"/>
          <w:color w:val="auto"/>
          <w:spacing w:val="0"/>
          <w:sz w:val="32"/>
          <w:szCs w:val="32"/>
          <w:shd w:val="clear" w:fill="FFFFFF"/>
        </w:rPr>
        <w:t>分为：基本支出1251</w:t>
      </w:r>
      <w:r>
        <w:rPr>
          <w:rFonts w:hint="eastAsia" w:ascii="仿宋_GB2312" w:hAnsi="仿宋_GB2312" w:eastAsia="仿宋_GB2312" w:cs="仿宋_GB2312"/>
          <w:b w:val="0"/>
          <w:i w:val="0"/>
          <w:caps w:val="0"/>
          <w:color w:val="auto"/>
          <w:spacing w:val="0"/>
          <w:sz w:val="32"/>
          <w:szCs w:val="32"/>
          <w:shd w:val="clear" w:fill="FFFFFF"/>
          <w:lang w:val="en-US" w:eastAsia="zh-CN"/>
        </w:rPr>
        <w:t>.</w:t>
      </w:r>
      <w:r>
        <w:rPr>
          <w:rFonts w:hint="eastAsia" w:ascii="仿宋_GB2312" w:hAnsi="仿宋_GB2312" w:eastAsia="仿宋_GB2312" w:cs="仿宋_GB2312"/>
          <w:b w:val="0"/>
          <w:i w:val="0"/>
          <w:caps w:val="0"/>
          <w:color w:val="auto"/>
          <w:spacing w:val="0"/>
          <w:sz w:val="32"/>
          <w:szCs w:val="32"/>
          <w:shd w:val="clear" w:fill="FFFFFF"/>
        </w:rPr>
        <w:t>34万元</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项目支出569</w:t>
      </w:r>
      <w:r>
        <w:rPr>
          <w:rFonts w:hint="eastAsia" w:ascii="仿宋_GB2312" w:hAnsi="仿宋_GB2312" w:eastAsia="仿宋_GB2312" w:cs="仿宋_GB2312"/>
          <w:b w:val="0"/>
          <w:i w:val="0"/>
          <w:caps w:val="0"/>
          <w:color w:val="auto"/>
          <w:spacing w:val="0"/>
          <w:sz w:val="32"/>
          <w:szCs w:val="32"/>
          <w:shd w:val="clear" w:fill="FFFFFF"/>
          <w:lang w:val="en-US" w:eastAsia="zh-CN"/>
        </w:rPr>
        <w:t>.</w:t>
      </w:r>
      <w:r>
        <w:rPr>
          <w:rFonts w:hint="eastAsia" w:ascii="仿宋_GB2312" w:hAnsi="仿宋_GB2312" w:eastAsia="仿宋_GB2312" w:cs="仿宋_GB2312"/>
          <w:b w:val="0"/>
          <w:i w:val="0"/>
          <w:caps w:val="0"/>
          <w:color w:val="auto"/>
          <w:spacing w:val="0"/>
          <w:sz w:val="32"/>
          <w:szCs w:val="32"/>
          <w:shd w:val="clear" w:fill="FFFFFF"/>
        </w:rPr>
        <w:t>5</w:t>
      </w:r>
      <w:r>
        <w:rPr>
          <w:rFonts w:hint="eastAsia" w:ascii="仿宋_GB2312" w:hAnsi="仿宋_GB2312" w:eastAsia="仿宋_GB2312" w:cs="仿宋_GB2312"/>
          <w:b w:val="0"/>
          <w:i w:val="0"/>
          <w:caps w:val="0"/>
          <w:color w:val="auto"/>
          <w:spacing w:val="0"/>
          <w:sz w:val="32"/>
          <w:szCs w:val="32"/>
          <w:shd w:val="clear" w:fill="FFFFFF"/>
          <w:lang w:val="en-US" w:eastAsia="zh-CN"/>
        </w:rPr>
        <w:t>8</w:t>
      </w:r>
      <w:r>
        <w:rPr>
          <w:rFonts w:hint="eastAsia" w:ascii="仿宋_GB2312" w:hAnsi="仿宋_GB2312" w:eastAsia="仿宋_GB2312" w:cs="仿宋_GB2312"/>
          <w:b w:val="0"/>
          <w:i w:val="0"/>
          <w:caps w:val="0"/>
          <w:color w:val="auto"/>
          <w:spacing w:val="0"/>
          <w:sz w:val="32"/>
          <w:szCs w:val="32"/>
          <w:shd w:val="clear" w:fill="FFFFFF"/>
        </w:rPr>
        <w:t>万元</w:t>
      </w:r>
      <w:r>
        <w:rPr>
          <w:rFonts w:hint="eastAsia" w:ascii="仿宋_GB2312" w:hAnsi="仿宋_GB2312" w:eastAsia="仿宋_GB2312" w:cs="仿宋_GB2312"/>
          <w:b w:val="0"/>
          <w:i w:val="0"/>
          <w:caps w:val="0"/>
          <w:color w:val="auto"/>
          <w:spacing w:val="0"/>
          <w:sz w:val="32"/>
          <w:szCs w:val="32"/>
          <w:shd w:val="clear" w:fill="FFFFFF"/>
          <w:lang w:val="en-US" w:eastAsia="zh-CN"/>
        </w:rPr>
        <w:t>。按经济分类分为：工资福利支出998.27万元；商品和服务支出819.15万元；对个人和家庭的补助支出0.37万元；资本性支出3.13万元。</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b/>
          <w:bCs/>
          <w:i w:val="0"/>
          <w:caps w:val="0"/>
          <w:color w:val="auto"/>
          <w:spacing w:val="0"/>
          <w:sz w:val="32"/>
          <w:szCs w:val="32"/>
          <w:shd w:val="clear" w:fill="FFFFFF"/>
          <w:lang w:eastAsia="zh-CN"/>
        </w:rPr>
      </w:pPr>
      <w:r>
        <w:rPr>
          <w:rFonts w:hint="eastAsia" w:ascii="方正黑体_GBK" w:hAnsi="方正黑体_GBK" w:eastAsia="方正黑体_GBK" w:cs="方正黑体_GBK"/>
          <w:b/>
          <w:bCs/>
          <w:i w:val="0"/>
          <w:caps w:val="0"/>
          <w:color w:val="auto"/>
          <w:spacing w:val="0"/>
          <w:sz w:val="32"/>
          <w:szCs w:val="32"/>
          <w:shd w:val="clear" w:fill="FFFFFF"/>
          <w:lang w:eastAsia="zh-CN"/>
        </w:rPr>
        <w:t>绩效评价工作情况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（一）绩效评价目的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严格落实《预算法》及省、市、区绩效管理工作的有关规定，进一步规范财政资金管理，强化财政支出绩效理念，提升部门责任意识，提高资金使用效益，保证</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各项工作任务的完成，为全区各项事业的发展提供组织保障。</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绩效评价的主要过程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绩效评价的要求，我局成立了自评领导小组，按照自评方案，对照各项工作内容逐条逐项自评。在自评过程注重发现问题，查找分析原因，总结经验教训，研究应对措施及时纠偏，做到更加科学合理地使用财政资金，提高资金使用效益。</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b/>
          <w:bCs/>
          <w:i w:val="0"/>
          <w:caps w:val="0"/>
          <w:color w:val="auto"/>
          <w:spacing w:val="0"/>
          <w:sz w:val="32"/>
          <w:szCs w:val="32"/>
          <w:shd w:val="clear" w:fill="FFFFFF"/>
          <w:lang w:eastAsia="zh-CN"/>
        </w:rPr>
      </w:pPr>
      <w:r>
        <w:rPr>
          <w:rFonts w:hint="eastAsia" w:ascii="方正黑体_GBK" w:hAnsi="方正黑体_GBK" w:eastAsia="方正黑体_GBK" w:cs="方正黑体_GBK"/>
          <w:b/>
          <w:bCs/>
          <w:i w:val="0"/>
          <w:caps w:val="0"/>
          <w:color w:val="auto"/>
          <w:spacing w:val="0"/>
          <w:sz w:val="32"/>
          <w:szCs w:val="32"/>
          <w:shd w:val="clear" w:fill="FFFFFF"/>
          <w:lang w:eastAsia="zh-CN"/>
        </w:rPr>
        <w:t>主要绩效及评价结论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kern w:val="0"/>
          <w:sz w:val="32"/>
          <w:szCs w:val="32"/>
          <w:lang w:val="en-US" w:eastAsia="zh-CN" w:bidi="ar-SA"/>
        </w:rPr>
        <w:t>（一）持续夯基固本，筑牢基层治理党建基石。</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扎实开展百年庆典活动。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紧盯建党100周年重要契机，围绕高标准做好“两优一先”表彰、“光荣在党50年”纪念章颁发等工作，对50名“优秀共产党员”、21名“优秀党务工作者”和20个“先进基层党组织”进行了表彰，为393名老党员颁发了“光荣在党50年”纪念章，拨付8万元慰问28名生活困难党员和老党员，扎实开展“我为群众办实事”主题实践活动，持续抓好“党课开讲啦”“榜样在身边”等工作，切实传递党的温暖、做实关怀“文章”。</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有序推进换届选举工作。</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提请区党工委领导牵头，及时成立了区换届工作领导小组和指导组、督导组，层层签订《严肃换届纪律承诺书》200余份，形成了一级抓一级、层层抓落实的工作机制；严格按照工作程序，选派工作组到谢林港镇进行班子换届综合考察，提出了符合政策规定、结构合理、搭配科学的换届人事安排方案。坚持把“十不选”作为党代表人选的红线，对162名意向人选进行“十八”联审，取消了3名不符合条件人选资格。</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严格落实党建工作责任。</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扎实抓好述职评议工作，全区12个基层党（工）委、25个党总支和219个基层支部书记都进行了2021年度党建工作述职。持续整顿软弱涣散基层党组织，年初确定的2个两新党组织全部在规定的时限内完成了整改销号。深入推进基层公共服务（一门式）全覆盖，实现了群众“办事不出村”。持续推进城市居民小区党建工作，100个小区党支部覆盖中心城区所有小区，打造了一批特色鲜明、载体丰富、服务精神的小区党建品牌。持续扩大两新组织“两个覆盖”，全年新成立实体性党支部7个、流动性党支部15个，撤销空壳党支部5个，指导31个两新党组织完成换届。深入推进抓党建促乡村振兴，对符合派驻条件的7个脱贫人口100人以上的村（社区）和2个省级乡村振兴示范创建村全部派驻工作队，安排了44名正科级以上领导干部结对帮扶45个防止返贫重点监测对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持续加强党员教育管理。</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严把党员队伍入口关，建立重点培养发展对象名单，举办发展对象培训班2期，严格党员发展程序，落实部门联审制度，全年发展党员200名。严格执行“三会一课”、组织生活会、民主评议党员、主题党日等基本制度，不断增强党员意识和组织观念。以“党员干部进社区、在职党员进小区”为主题，全面推进在职党员到居住地社区（小区）报到开展志愿服务，推动在职党员8小时之外亮明身份、服务群众。</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kern w:val="0"/>
          <w:sz w:val="32"/>
          <w:szCs w:val="32"/>
          <w:lang w:val="en-US" w:eastAsia="zh-CN" w:bidi="ar-SA"/>
        </w:rPr>
        <w:t>（二）强化正向激励，打造忠诚担当干部队伍。</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抓实干部教育培训。</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始终把提高政治觉悟，完善知识架构贯穿干部教育培训全过程，在全市率先完成全年干部在线培训任务；分4批组织副科级以上领导干部、优秀年轻干部代表赴杭州、深圳开展专题业务培训，共培训180人次。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坚持正确用人导向。</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注重在招商引资、项目建设、征地拆迁等一线考察识别干部，全年提拔重用、交流科级干部27名，其中提拔重用80后、90后年轻干部12名；配合做好了2名正处级干部、2名副处级干部、1名二级调研员、1名三级调研员的推荐考察工作；扎实做好了干部职务职级并行工作，全年共晋升四级调研员17名、一至四级主任科员50名。</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提升人才工作实效。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持续完善柔性引才工作机制，全年引进优秀高层次人才9名；规范人员准入门槛，坚持逢进必考，全年组织公开招考5次，遴选公务员16名，招聘事业编制人员15名，招聘党建指导员、便民服务员等编外人员38名；扎实开展规模以上企业人才需求摸底工作，建立了人才需求信息的动态管理台账和十大产业链急需紧缺人才库。</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做实做细日常工作。</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充分发挥绩效考核“指挥棒”作用，分级分类做好奖优罚劣，不断提高绩效工作的权威性；修订完善《益阳高新区2021年度主责主业考评细则》，科学设置绩效评估指标体系，突出高质量发展、“三高四新”、“五好园区”等重点工作任务。严格落实退役军人安置政策，安置军转干部及随调家属3名</w:t>
      </w:r>
      <w:r>
        <w:rPr>
          <w:rFonts w:hint="eastAsia" w:ascii="Times New Roman" w:hAnsi="Times New Roman" w:eastAsia="仿宋_GB2312"/>
          <w:sz w:val="32"/>
          <w:szCs w:val="32"/>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扎实做好档案管理工作，完成了区直各部门单位班子成员约60人的档案资料整理和归档；全面完成公务员2017年1月至2021年6月津补贴专项整理清查汇总工作和机关事业编制核查、编制系统信息录入等工作。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lang w:val="en-US" w:eastAsia="zh-CN"/>
        </w:rPr>
      </w:pPr>
      <w:r>
        <w:rPr>
          <w:rFonts w:hint="eastAsia" w:ascii="楷体_GB2312" w:hAnsi="楷体_GB2312" w:eastAsia="楷体_GB2312" w:cs="楷体_GB2312"/>
          <w:b w:val="0"/>
          <w:bCs w:val="0"/>
          <w:kern w:val="0"/>
          <w:sz w:val="32"/>
          <w:szCs w:val="32"/>
          <w:lang w:val="en-US" w:eastAsia="zh-CN" w:bidi="ar-SA"/>
        </w:rPr>
        <w:t>（三）坚持真抓实干，努力提升统战工作质效。</w:t>
      </w:r>
      <w:r>
        <w:rPr>
          <w:rFonts w:hint="eastAsia" w:ascii="仿宋_GB2312" w:hAnsi="仿宋_GB2312" w:eastAsia="仿宋_GB2312" w:cs="仿宋_GB2312"/>
          <w:b/>
          <w:bCs/>
          <w:color w:val="000000"/>
          <w:sz w:val="32"/>
          <w:szCs w:val="32"/>
          <w:lang w:eastAsia="zh-CN"/>
        </w:rPr>
        <w:t>积极</w:t>
      </w:r>
      <w:r>
        <w:rPr>
          <w:rFonts w:hint="eastAsia" w:ascii="仿宋_GB2312" w:hAnsi="仿宋_GB2312" w:eastAsia="仿宋_GB2312" w:cs="仿宋_GB2312"/>
          <w:b/>
          <w:bCs/>
          <w:color w:val="000000"/>
          <w:sz w:val="32"/>
          <w:szCs w:val="32"/>
        </w:rPr>
        <w:t>协调解决企业困难。</w:t>
      </w:r>
      <w:r>
        <w:rPr>
          <w:rFonts w:hint="eastAsia" w:ascii="仿宋_GB2312" w:hAnsi="仿宋_GB2312" w:eastAsia="仿宋_GB2312" w:cs="仿宋_GB2312"/>
          <w:color w:val="000000"/>
          <w:sz w:val="32"/>
          <w:szCs w:val="32"/>
        </w:rPr>
        <w:t>会同区企业服务中心，通过日常走访、召开企业家座谈会和校企座谈会等方式，与企业面对面、零距离沟通，收集企业存在的问题</w:t>
      </w:r>
      <w:r>
        <w:rPr>
          <w:rFonts w:hint="eastAsia" w:ascii="仿宋_GB2312" w:hAnsi="仿宋_GB2312" w:eastAsia="仿宋_GB2312" w:cs="仿宋_GB2312"/>
          <w:color w:val="000000"/>
          <w:sz w:val="32"/>
          <w:szCs w:val="32"/>
          <w:lang w:eastAsia="zh-CN"/>
        </w:rPr>
        <w:t>，积极协调</w:t>
      </w:r>
      <w:r>
        <w:rPr>
          <w:rFonts w:hint="eastAsia" w:ascii="仿宋_GB2312" w:hAnsi="仿宋_GB2312" w:eastAsia="仿宋_GB2312" w:cs="仿宋_GB2312"/>
          <w:color w:val="000000"/>
          <w:sz w:val="32"/>
          <w:szCs w:val="32"/>
        </w:rPr>
        <w:t>解决</w:t>
      </w:r>
      <w:r>
        <w:rPr>
          <w:rFonts w:hint="eastAsia" w:ascii="仿宋_GB2312" w:hAnsi="仿宋_GB2312" w:eastAsia="仿宋_GB2312" w:cs="仿宋_GB2312"/>
          <w:color w:val="000000"/>
          <w:sz w:val="32"/>
          <w:szCs w:val="32"/>
          <w:lang w:eastAsia="zh-CN"/>
        </w:rPr>
        <w:t>，有效解决</w:t>
      </w:r>
      <w:r>
        <w:rPr>
          <w:rFonts w:hint="eastAsia" w:ascii="仿宋_GB2312" w:hAnsi="仿宋_GB2312" w:eastAsia="仿宋_GB2312" w:cs="仿宋_GB2312"/>
          <w:color w:val="000000"/>
          <w:sz w:val="32"/>
          <w:szCs w:val="32"/>
        </w:rPr>
        <w:t>了粤湘大健康员工摔伤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山力玉柴施工队与员工工资结算</w:t>
      </w:r>
      <w:r>
        <w:rPr>
          <w:rFonts w:hint="eastAsia" w:ascii="仿宋_GB2312" w:hAnsi="仿宋_GB2312" w:eastAsia="仿宋_GB2312" w:cs="仿宋_GB2312"/>
          <w:color w:val="000000"/>
          <w:sz w:val="32"/>
          <w:szCs w:val="32"/>
          <w:lang w:eastAsia="zh-CN"/>
        </w:rPr>
        <w:t>等问题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lang w:eastAsia="zh-CN"/>
        </w:rPr>
        <w:t>深入</w:t>
      </w:r>
      <w:r>
        <w:rPr>
          <w:rFonts w:hint="eastAsia" w:ascii="仿宋_GB2312" w:hAnsi="仿宋_GB2312" w:eastAsia="仿宋_GB2312" w:cs="仿宋_GB2312"/>
          <w:b/>
          <w:bCs/>
          <w:color w:val="000000"/>
          <w:sz w:val="32"/>
          <w:szCs w:val="32"/>
        </w:rPr>
        <w:t>推进同心创建</w:t>
      </w:r>
      <w:r>
        <w:rPr>
          <w:rFonts w:hint="eastAsia" w:ascii="仿宋_GB2312" w:hAnsi="仿宋_GB2312" w:eastAsia="仿宋_GB2312" w:cs="仿宋_GB2312"/>
          <w:b/>
          <w:bCs/>
          <w:color w:val="000000"/>
          <w:sz w:val="32"/>
          <w:szCs w:val="32"/>
          <w:lang w:eastAsia="zh-CN"/>
        </w:rPr>
        <w:t>活动</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充分发挥统一战线优势，持续深入推进同心美丽乡村建设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清溪村、金山社区分别被授予市级同心美丽乡村、市级同心社区，北峰垸村已申报创建市级同心美丽乡村。</w:t>
      </w:r>
      <w:r>
        <w:rPr>
          <w:rFonts w:hint="eastAsia" w:ascii="仿宋_GB2312" w:hAnsi="仿宋_GB2312" w:eastAsia="仿宋_GB2312" w:cs="仿宋_GB2312"/>
          <w:color w:val="000000"/>
          <w:sz w:val="32"/>
          <w:szCs w:val="32"/>
          <w:lang w:eastAsia="zh-CN"/>
        </w:rPr>
        <w:t>积极探索</w:t>
      </w:r>
      <w:r>
        <w:rPr>
          <w:rFonts w:hint="eastAsia" w:ascii="仿宋_GB2312" w:hAnsi="仿宋_GB2312" w:eastAsia="仿宋_GB2312" w:cs="仿宋_GB2312"/>
          <w:color w:val="000000"/>
          <w:sz w:val="32"/>
          <w:szCs w:val="32"/>
        </w:rPr>
        <w:t>统战工作与“双创”</w:t>
      </w:r>
      <w:r>
        <w:rPr>
          <w:rFonts w:hint="eastAsia" w:ascii="仿宋_GB2312" w:hAnsi="仿宋_GB2312" w:eastAsia="仿宋_GB2312" w:cs="仿宋_GB2312"/>
          <w:color w:val="000000"/>
          <w:sz w:val="32"/>
          <w:szCs w:val="32"/>
          <w:lang w:eastAsia="zh-CN"/>
        </w:rPr>
        <w:t>服务共赢共享模式</w:t>
      </w:r>
      <w:r>
        <w:rPr>
          <w:rFonts w:hint="eastAsia" w:ascii="仿宋_GB2312" w:hAnsi="仿宋_GB2312" w:eastAsia="仿宋_GB2312" w:cs="仿宋_GB2312"/>
          <w:color w:val="000000"/>
          <w:sz w:val="32"/>
          <w:szCs w:val="32"/>
        </w:rPr>
        <w:t>，益阳青年创新创业孵化基地被授予省级新的社会阶层人士统战工作实践创新基地。</w:t>
      </w:r>
      <w:r>
        <w:rPr>
          <w:rFonts w:hint="eastAsia" w:ascii="仿宋_GB2312" w:hAnsi="仿宋_GB2312" w:eastAsia="仿宋_GB2312" w:cs="仿宋_GB2312"/>
          <w:b/>
          <w:bCs/>
          <w:color w:val="000000"/>
          <w:sz w:val="32"/>
          <w:szCs w:val="32"/>
          <w:lang w:eastAsia="zh-CN"/>
        </w:rPr>
        <w:t>切实维护民宗领域和谐稳定。</w:t>
      </w:r>
      <w:r>
        <w:rPr>
          <w:rFonts w:hint="eastAsia" w:ascii="仿宋_GB2312" w:hAnsi="仿宋_GB2312" w:eastAsia="仿宋_GB2312" w:cs="仿宋_GB2312"/>
          <w:color w:val="000000"/>
          <w:sz w:val="32"/>
          <w:szCs w:val="32"/>
        </w:rPr>
        <w:t>继续做</w:t>
      </w:r>
      <w:r>
        <w:rPr>
          <w:rFonts w:hint="default" w:ascii="仿宋_GB2312" w:hAnsi="仿宋_GB2312" w:eastAsia="仿宋_GB2312" w:cs="仿宋_GB2312"/>
          <w:color w:val="000000"/>
          <w:sz w:val="32"/>
          <w:szCs w:val="32"/>
        </w:rPr>
        <w:t>好回族等少数民族肉食补贴发放工作</w:t>
      </w:r>
      <w:r>
        <w:rPr>
          <w:rFonts w:hint="eastAsia" w:ascii="仿宋_GB2312" w:hAnsi="仿宋_GB2312" w:eastAsia="仿宋_GB2312" w:cs="仿宋_GB2312"/>
          <w:color w:val="000000"/>
          <w:sz w:val="32"/>
          <w:szCs w:val="32"/>
          <w:lang w:eastAsia="zh-CN"/>
        </w:rPr>
        <w:t>，协调解决</w:t>
      </w:r>
      <w:r>
        <w:rPr>
          <w:rFonts w:hint="eastAsia" w:ascii="仿宋_GB2312" w:hAnsi="仿宋_GB2312" w:eastAsia="仿宋_GB2312" w:cs="仿宋_GB2312"/>
          <w:color w:val="000000"/>
          <w:sz w:val="32"/>
          <w:szCs w:val="32"/>
        </w:rPr>
        <w:t>新疆烤羊肉店房屋租赁问题</w:t>
      </w:r>
      <w:r>
        <w:rPr>
          <w:rFonts w:hint="eastAsia" w:ascii="仿宋_GB2312" w:hAnsi="仿宋_GB2312" w:eastAsia="仿宋_GB2312" w:cs="仿宋_GB2312"/>
          <w:color w:val="000000"/>
          <w:sz w:val="32"/>
          <w:szCs w:val="32"/>
          <w:lang w:val="en-US" w:eastAsia="zh-CN"/>
        </w:rPr>
        <w:t>2个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流动少数民族子女就近入学问题4个。认真组织开展宗教活动场所消防安全专项整治三年行动，举办了宗教场所教职人员及</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乡村</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级宗教专干消防安全培训班，开展了消防安全演练，联合消防部门对宗教场所进行了3次消防安全隐患大排查。按时完成了紫竹林禅寺垮塌山体和露天宗教造像的整改，对梓山寺临时活动点进行了依法</w:t>
      </w:r>
      <w:r>
        <w:rPr>
          <w:rFonts w:hint="eastAsia" w:ascii="仿宋_GB2312" w:hAnsi="仿宋_GB2312" w:eastAsia="仿宋_GB2312" w:cs="仿宋_GB2312"/>
          <w:color w:val="000000"/>
          <w:sz w:val="32"/>
          <w:szCs w:val="32"/>
          <w:lang w:eastAsia="zh-CN"/>
        </w:rPr>
        <w:t>关停</w:t>
      </w:r>
      <w:r>
        <w:rPr>
          <w:rFonts w:hint="eastAsia" w:ascii="仿宋_GB2312" w:hAnsi="仿宋_GB2312" w:eastAsia="仿宋_GB2312" w:cs="仿宋_GB2312"/>
          <w:color w:val="000000"/>
          <w:sz w:val="32"/>
          <w:szCs w:val="32"/>
        </w:rPr>
        <w:t>，对佛道教商业化、基督教私设聚会点等容易反弹问题加强了跟踪督导和</w:t>
      </w:r>
      <w:r>
        <w:rPr>
          <w:rFonts w:hint="eastAsia" w:ascii="仿宋_GB2312" w:hAnsi="仿宋_GB2312" w:eastAsia="仿宋_GB2312" w:cs="仿宋_GB2312"/>
          <w:color w:val="000000"/>
          <w:sz w:val="32"/>
          <w:szCs w:val="32"/>
          <w:lang w:eastAsia="zh-CN"/>
        </w:rPr>
        <w:t>训诫</w:t>
      </w:r>
      <w:r>
        <w:rPr>
          <w:rFonts w:hint="eastAsia" w:ascii="仿宋_GB2312" w:hAnsi="仿宋_GB2312" w:eastAsia="仿宋_GB2312" w:cs="仿宋_GB2312"/>
          <w:color w:val="000000"/>
          <w:sz w:val="32"/>
          <w:szCs w:val="32"/>
        </w:rPr>
        <w:t>劝导。</w:t>
      </w:r>
      <w:r>
        <w:rPr>
          <w:rFonts w:hint="eastAsia" w:ascii="仿宋_GB2312" w:hAnsi="仿宋_GB2312" w:eastAsia="仿宋_GB2312" w:cs="仿宋_GB2312"/>
          <w:b/>
          <w:bCs/>
          <w:color w:val="000000"/>
          <w:sz w:val="32"/>
          <w:szCs w:val="32"/>
          <w:lang w:eastAsia="zh-CN"/>
        </w:rPr>
        <w:t>统筹做好各领域统战工作。</w:t>
      </w:r>
      <w:r>
        <w:rPr>
          <w:rFonts w:hint="eastAsia" w:ascii="仿宋_GB2312" w:hAnsi="仿宋_GB2312" w:eastAsia="仿宋_GB2312" w:cs="仿宋_GB2312"/>
          <w:color w:val="000000"/>
          <w:sz w:val="32"/>
          <w:szCs w:val="32"/>
          <w:lang w:eastAsia="zh-CN"/>
        </w:rPr>
        <w:t>大力支持民革市委会</w:t>
      </w:r>
      <w:r>
        <w:rPr>
          <w:rFonts w:hint="eastAsia" w:ascii="仿宋_GB2312" w:hAnsi="仿宋_GB2312" w:eastAsia="仿宋_GB2312" w:cs="仿宋_GB2312"/>
          <w:color w:val="000000"/>
          <w:sz w:val="32"/>
          <w:szCs w:val="32"/>
        </w:rPr>
        <w:t>开展长江（湖南段）、资江、洞庭湖生态环境保护民主监督</w:t>
      </w:r>
      <w:r>
        <w:rPr>
          <w:rFonts w:hint="eastAsia" w:ascii="仿宋_GB2312" w:hAnsi="仿宋_GB2312" w:eastAsia="仿宋_GB2312" w:cs="仿宋_GB2312"/>
          <w:color w:val="000000"/>
          <w:sz w:val="32"/>
          <w:szCs w:val="32"/>
          <w:lang w:eastAsia="zh-CN"/>
        </w:rPr>
        <w:t>，积极</w:t>
      </w:r>
      <w:r>
        <w:rPr>
          <w:rFonts w:hint="eastAsia" w:ascii="仿宋_GB2312" w:hAnsi="仿宋_GB2312" w:eastAsia="仿宋_GB2312" w:cs="仿宋_GB2312"/>
          <w:color w:val="000000"/>
          <w:sz w:val="32"/>
          <w:szCs w:val="32"/>
          <w:lang w:val="en-US" w:eastAsia="zh-CN"/>
        </w:rPr>
        <w:t>协助市知联会调研课题组开展“深化改革创新、打造活力益阳”调查研究，配合做好了党外代表人士的选拔工作，扎实开展了华侨、华人、侨眷，海外留学生、留学归国人员摸底调查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kern w:val="0"/>
          <w:sz w:val="32"/>
          <w:szCs w:val="32"/>
          <w:lang w:val="en-US" w:eastAsia="zh-CN" w:bidi="ar-SA"/>
        </w:rPr>
        <w:t>（四）发挥群团作用，不断激发园区发展活力。</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积极推动全民健身。</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组织全区18支参赛队伍共计260余人参加“永远跟党走 奋进新征程”环湖健步行活动，营造了浓郁的全民健身氛围。拨付专项经费支持区排舞协会高标准排练了少数民族健身操，助推了区民族体育事业的发展。</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不断丰富文化活动。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举办了益阳高新区纪念“五四”运动102周年暨“学党史念党恩跟党走，青春助力高质量发展”大型宣讲活动，引导广大青年坚定跟党走、奋进新时代；将学雷锋活动与宣扬劳模精神相结合，在全区形成了践行雷锋精神，争当劳动和先进模范的良好氛围；扎实开展了“把爱带回家”儿童关爱服务“四送”活动，受到爱心妈妈们一致好评。</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关爱困难职工群众。</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认真开展“两节”送温暖活动，机关工会共走访慰问困难职工群众73户，发放慰问金7万余元；深入开展女职工“关爱行动”，将1名患乳腺癌女职工纳入大病关爱帮扶对象，帮扶资金1万元。</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加大人文关怀力度。</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积极发动全区干职工参与全国妇联“母亲邮包”资金募集和省妇联“出手吧，姐姐”资金募集活动，两项资金募集总数均居全市第二，让更多的贫困母亲和困难家庭感受到了组织的关怀和温暖。组织全体退休老干部到会龙山和平·签证主题馆，开展参观学习和健身活动，丰富了老同志精神文化生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b/>
          <w:bCs/>
          <w:i w:val="0"/>
          <w:caps w:val="0"/>
          <w:color w:val="auto"/>
          <w:spacing w:val="0"/>
          <w:sz w:val="32"/>
          <w:szCs w:val="32"/>
          <w:shd w:val="clear" w:fill="FFFFFF"/>
          <w:lang w:eastAsia="zh-CN"/>
        </w:rPr>
      </w:pPr>
      <w:r>
        <w:rPr>
          <w:rFonts w:hint="eastAsia" w:ascii="方正黑体_GBK" w:hAnsi="方正黑体_GBK" w:eastAsia="方正黑体_GBK" w:cs="方正黑体_GBK"/>
          <w:b/>
          <w:bCs/>
          <w:i w:val="0"/>
          <w:caps w:val="0"/>
          <w:color w:val="auto"/>
          <w:spacing w:val="0"/>
          <w:sz w:val="32"/>
          <w:szCs w:val="32"/>
          <w:shd w:val="clear" w:fill="FFFFFF"/>
          <w:lang w:val="en-US" w:eastAsia="zh-CN"/>
        </w:rPr>
        <w:t>四、工作建议</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一是请求财政分局</w:t>
      </w:r>
      <w:r>
        <w:rPr>
          <w:rFonts w:hint="eastAsia" w:ascii="仿宋_GB2312" w:hAnsi="仿宋_GB2312" w:eastAsia="仿宋_GB2312" w:cs="仿宋_GB2312"/>
          <w:b w:val="0"/>
          <w:i w:val="0"/>
          <w:caps w:val="0"/>
          <w:color w:val="auto"/>
          <w:spacing w:val="0"/>
          <w:sz w:val="32"/>
          <w:szCs w:val="32"/>
          <w:shd w:val="clear" w:fill="FFFFFF"/>
        </w:rPr>
        <w:t>强化</w:t>
      </w:r>
      <w:r>
        <w:rPr>
          <w:rFonts w:hint="eastAsia" w:ascii="仿宋_GB2312" w:hAnsi="仿宋_GB2312" w:eastAsia="仿宋_GB2312" w:cs="仿宋_GB2312"/>
          <w:b w:val="0"/>
          <w:i w:val="0"/>
          <w:caps w:val="0"/>
          <w:color w:val="auto"/>
          <w:spacing w:val="0"/>
          <w:sz w:val="32"/>
          <w:szCs w:val="32"/>
          <w:shd w:val="clear" w:fill="FFFFFF"/>
          <w:lang w:eastAsia="zh-CN"/>
        </w:rPr>
        <w:t>我局</w:t>
      </w:r>
      <w:r>
        <w:rPr>
          <w:rFonts w:hint="eastAsia" w:ascii="仿宋_GB2312" w:hAnsi="仿宋_GB2312" w:eastAsia="仿宋_GB2312" w:cs="仿宋_GB2312"/>
          <w:b w:val="0"/>
          <w:i w:val="0"/>
          <w:caps w:val="0"/>
          <w:color w:val="auto"/>
          <w:spacing w:val="0"/>
          <w:sz w:val="32"/>
          <w:szCs w:val="32"/>
          <w:shd w:val="clear" w:fill="FFFFFF"/>
        </w:rPr>
        <w:t>业务人员的培训</w:t>
      </w:r>
      <w:r>
        <w:rPr>
          <w:rFonts w:hint="eastAsia" w:ascii="仿宋_GB2312" w:hAnsi="仿宋_GB2312" w:eastAsia="仿宋_GB2312" w:cs="仿宋_GB2312"/>
          <w:b w:val="0"/>
          <w:i w:val="0"/>
          <w:caps w:val="0"/>
          <w:color w:val="auto"/>
          <w:spacing w:val="0"/>
          <w:sz w:val="32"/>
          <w:szCs w:val="32"/>
          <w:shd w:val="clear" w:fill="FFFFFF"/>
          <w:lang w:eastAsia="zh-CN"/>
        </w:rPr>
        <w:t>与指导</w:t>
      </w:r>
      <w:r>
        <w:rPr>
          <w:rFonts w:hint="eastAsia" w:ascii="仿宋_GB2312" w:hAnsi="仿宋_GB2312" w:eastAsia="仿宋_GB2312" w:cs="仿宋_GB2312"/>
          <w:b w:val="0"/>
          <w:i w:val="0"/>
          <w:caps w:val="0"/>
          <w:color w:val="auto"/>
          <w:spacing w:val="0"/>
          <w:sz w:val="32"/>
          <w:szCs w:val="32"/>
          <w:shd w:val="clear" w:fill="FFFFFF"/>
        </w:rPr>
        <w:t>，提升业务素质。</w:t>
      </w:r>
      <w:r>
        <w:rPr>
          <w:rFonts w:hint="eastAsia" w:ascii="仿宋_GB2312" w:hAnsi="仿宋_GB2312" w:eastAsia="仿宋_GB2312" w:cs="仿宋_GB2312"/>
          <w:b w:val="0"/>
          <w:i w:val="0"/>
          <w:caps w:val="0"/>
          <w:color w:val="auto"/>
          <w:spacing w:val="0"/>
          <w:sz w:val="32"/>
          <w:szCs w:val="32"/>
          <w:shd w:val="clear" w:fill="FFFFFF"/>
          <w:lang w:eastAsia="zh-CN"/>
        </w:rPr>
        <w:t>二是在</w:t>
      </w:r>
      <w:r>
        <w:rPr>
          <w:rFonts w:hint="eastAsia" w:ascii="仿宋_GB2312" w:hAnsi="仿宋_GB2312" w:eastAsia="仿宋_GB2312" w:cs="仿宋_GB2312"/>
          <w:b w:val="0"/>
          <w:i w:val="0"/>
          <w:caps w:val="0"/>
          <w:color w:val="auto"/>
          <w:spacing w:val="0"/>
          <w:sz w:val="32"/>
          <w:szCs w:val="32"/>
          <w:shd w:val="clear" w:fill="FFFFFF"/>
        </w:rPr>
        <w:t>今后年度，我单位将把上一年预算绩效评价结果加以应用，结合科学的方法编制下一年度部门预算，尽量保证预算的合理适当。</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eastAsia="仿宋_GB2312"/>
          <w:sz w:val="32"/>
          <w:szCs w:val="32"/>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20" w:lineRule="exact"/>
        <w:ind w:right="0" w:rightChars="0" w:firstLine="6720" w:firstLineChars="21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益阳高新区组织工作局</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2022年6月30日</w:t>
      </w:r>
    </w:p>
    <w:p>
      <w:pPr>
        <w:tabs>
          <w:tab w:val="left" w:pos="1502"/>
          <w:tab w:val="left" w:pos="2455"/>
          <w:tab w:val="left" w:pos="5327"/>
        </w:tabs>
        <w:jc w:val="left"/>
        <w:rPr>
          <w:rFonts w:hint="eastAsia" w:ascii="黑体" w:eastAsia="黑体"/>
          <w:sz w:val="32"/>
          <w:szCs w:val="32"/>
        </w:rPr>
      </w:pPr>
    </w:p>
    <w:p>
      <w:pPr>
        <w:tabs>
          <w:tab w:val="left" w:pos="1502"/>
          <w:tab w:val="left" w:pos="2455"/>
          <w:tab w:val="left" w:pos="5327"/>
        </w:tabs>
        <w:jc w:val="left"/>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1</w:t>
      </w:r>
      <w:r>
        <w:rPr>
          <w:rFonts w:hint="eastAsia" w:ascii="黑体" w:eastAsia="黑体"/>
          <w:sz w:val="32"/>
          <w:szCs w:val="32"/>
        </w:rPr>
        <w:t>：</w:t>
      </w:r>
    </w:p>
    <w:p>
      <w:pPr>
        <w:spacing w:line="360" w:lineRule="auto"/>
        <w:jc w:val="center"/>
        <w:rPr>
          <w:rFonts w:hint="eastAsia" w:ascii="方正小标宋_GBK" w:eastAsia="方正小标宋_GBK"/>
          <w:bCs/>
          <w:sz w:val="36"/>
          <w:szCs w:val="36"/>
        </w:rPr>
      </w:pPr>
      <w:r>
        <w:rPr>
          <w:rFonts w:hint="eastAsia" w:ascii="方正小标宋简体" w:hAnsi="方正小标宋简体" w:eastAsia="方正小标宋简体" w:cs="方正小标宋简体"/>
          <w:bCs/>
          <w:sz w:val="36"/>
          <w:szCs w:val="36"/>
        </w:rPr>
        <w:t>20</w:t>
      </w:r>
      <w:r>
        <w:rPr>
          <w:rFonts w:hint="eastAsia" w:ascii="方正小标宋简体" w:hAnsi="方正小标宋简体" w:eastAsia="方正小标宋简体" w:cs="方正小标宋简体"/>
          <w:bCs/>
          <w:sz w:val="36"/>
          <w:szCs w:val="36"/>
          <w:lang w:val="en-US" w:eastAsia="zh-CN"/>
        </w:rPr>
        <w:t>21</w:t>
      </w:r>
      <w:r>
        <w:rPr>
          <w:rFonts w:hint="eastAsia" w:ascii="方正小标宋简体" w:hAnsi="方正小标宋简体" w:eastAsia="方正小标宋简体" w:cs="方正小标宋简体"/>
          <w:bCs/>
          <w:sz w:val="36"/>
          <w:szCs w:val="36"/>
        </w:rPr>
        <w:t>年度部门整体支出绩效自评指标计分表</w:t>
      </w:r>
    </w:p>
    <w:tbl>
      <w:tblPr>
        <w:tblStyle w:val="6"/>
        <w:tblW w:w="8820" w:type="dxa"/>
        <w:jc w:val="center"/>
        <w:tblLayout w:type="fixed"/>
        <w:tblCellMar>
          <w:top w:w="0" w:type="dxa"/>
          <w:left w:w="108" w:type="dxa"/>
          <w:bottom w:w="0" w:type="dxa"/>
          <w:right w:w="108" w:type="dxa"/>
        </w:tblCellMar>
      </w:tblPr>
      <w:tblGrid>
        <w:gridCol w:w="682"/>
        <w:gridCol w:w="850"/>
        <w:gridCol w:w="993"/>
        <w:gridCol w:w="2413"/>
        <w:gridCol w:w="3257"/>
        <w:gridCol w:w="625"/>
      </w:tblGrid>
      <w:tr>
        <w:tblPrEx>
          <w:tblCellMar>
            <w:top w:w="0" w:type="dxa"/>
            <w:left w:w="108" w:type="dxa"/>
            <w:bottom w:w="0" w:type="dxa"/>
            <w:right w:w="108" w:type="dxa"/>
          </w:tblCellMar>
        </w:tblPrEx>
        <w:trPr>
          <w:trHeight w:val="68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指标</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指标</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指标解释</w:t>
            </w:r>
          </w:p>
        </w:tc>
        <w:tc>
          <w:tcPr>
            <w:tcW w:w="32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指标说明</w:t>
            </w:r>
          </w:p>
        </w:tc>
        <w:tc>
          <w:tcPr>
            <w:tcW w:w="6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自评分</w:t>
            </w:r>
          </w:p>
        </w:tc>
      </w:tr>
      <w:tr>
        <w:tblPrEx>
          <w:tblCellMar>
            <w:top w:w="0" w:type="dxa"/>
            <w:left w:w="108" w:type="dxa"/>
            <w:bottom w:w="0" w:type="dxa"/>
            <w:right w:w="108" w:type="dxa"/>
          </w:tblCellMar>
        </w:tblPrEx>
        <w:trPr>
          <w:trHeight w:val="1764" w:hRule="atLeast"/>
          <w:jc w:val="center"/>
        </w:trPr>
        <w:tc>
          <w:tcPr>
            <w:tcW w:w="682" w:type="dxa"/>
            <w:vMerge w:val="restart"/>
            <w:tcBorders>
              <w:top w:val="nil"/>
              <w:left w:val="single" w:color="auto" w:sz="4" w:space="0"/>
              <w:right w:val="single" w:color="auto" w:sz="4" w:space="0"/>
            </w:tcBorders>
            <w:noWrap w:val="0"/>
            <w:textDirection w:val="tbRlV"/>
            <w:vAlign w:val="center"/>
          </w:tcPr>
          <w:p>
            <w:pPr>
              <w:widowControl/>
              <w:ind w:left="113" w:right="113"/>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投入（20分）</w:t>
            </w:r>
          </w:p>
        </w:tc>
        <w:tc>
          <w:tcPr>
            <w:tcW w:w="850"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w:t>
            </w:r>
          </w:p>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设定</w:t>
            </w:r>
          </w:p>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（5分）</w:t>
            </w:r>
          </w:p>
          <w:p>
            <w:pPr>
              <w:widowControl/>
              <w:jc w:val="center"/>
              <w:rPr>
                <w:rFonts w:hint="eastAsia" w:ascii="仿宋_GB2312" w:hAnsi="宋体" w:eastAsia="仿宋_GB2312" w:cs="宋体"/>
                <w:kern w:val="0"/>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绩效目标合理性（2分）</w:t>
            </w:r>
          </w:p>
          <w:p>
            <w:pPr>
              <w:widowControl/>
              <w:jc w:val="left"/>
              <w:rPr>
                <w:rFonts w:hint="eastAsia" w:ascii="仿宋_GB2312" w:hAnsi="宋体" w:eastAsia="仿宋_GB2312" w:cs="宋体"/>
                <w:kern w:val="0"/>
                <w:sz w:val="20"/>
                <w:szCs w:val="20"/>
              </w:rPr>
            </w:pPr>
          </w:p>
        </w:tc>
        <w:tc>
          <w:tcPr>
            <w:tcW w:w="2413" w:type="dxa"/>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部门所设立的整体绩效目标依据是否充分，是否符合客观实际，用以反映和考核部门整体绩效目标与部门履职、年度工作任务的相符性情况。</w:t>
            </w:r>
          </w:p>
        </w:tc>
        <w:tc>
          <w:tcPr>
            <w:tcW w:w="3257"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①符合国家法律法规、国民经济和社会发展总体规划计1分；②符合部门“三定”方案确定的职责计0.5分；③是否符合部门制定的中长期实施规划计0.5分。</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仿宋_GB2312" w:hAnsi="仿宋_GB2312" w:eastAsia="仿宋_GB2312" w:cs="仿宋_GB2312"/>
                <w:kern w:val="0"/>
                <w:sz w:val="24"/>
                <w:lang w:val="en-US" w:eastAsia="zh-CN"/>
              </w:rPr>
              <w:t>2</w:t>
            </w:r>
          </w:p>
        </w:tc>
      </w:tr>
      <w:tr>
        <w:tblPrEx>
          <w:tblCellMar>
            <w:top w:w="0" w:type="dxa"/>
            <w:left w:w="108" w:type="dxa"/>
            <w:bottom w:w="0" w:type="dxa"/>
            <w:right w:w="108" w:type="dxa"/>
          </w:tblCellMar>
        </w:tblPrEx>
        <w:trPr>
          <w:trHeight w:val="1832"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top w:val="nil"/>
              <w:left w:val="nil"/>
              <w:bottom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绩效指标明确性（3分）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部门依据整体绩效目标所设定的绩效指标是否清晰、细化、可衡量，用以反映和考核部门整体绩效目标的明细化情况。</w:t>
            </w:r>
          </w:p>
        </w:tc>
        <w:tc>
          <w:tcPr>
            <w:tcW w:w="3257"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①将部门整体的绩效目标细化分解为具体的工作任务计1分；②通过清晰、可衡量的指标值予以体现计0.5分。③与部门年度的任务数或计划数相对应计0.5分；④与本年度部门预算资金相匹配计1分。</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r>
      <w:tr>
        <w:tblPrEx>
          <w:tblCellMar>
            <w:top w:w="0" w:type="dxa"/>
            <w:left w:w="108" w:type="dxa"/>
            <w:bottom w:w="0" w:type="dxa"/>
            <w:right w:w="108" w:type="dxa"/>
          </w:tblCellMar>
        </w:tblPrEx>
        <w:trPr>
          <w:trHeight w:val="2128"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restart"/>
            <w:tcBorders>
              <w:top w:val="nil"/>
              <w:left w:val="nil"/>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预算</w:t>
            </w:r>
          </w:p>
          <w:p>
            <w:pPr>
              <w:widowControl/>
              <w:spacing w:line="260" w:lineRule="exact"/>
              <w:jc w:val="center"/>
              <w:rPr>
                <w:sz w:val="20"/>
                <w:szCs w:val="20"/>
              </w:rPr>
            </w:pPr>
            <w:r>
              <w:rPr>
                <w:rFonts w:hint="eastAsia" w:ascii="仿宋_GB2312" w:hAnsi="宋体" w:eastAsia="仿宋_GB2312" w:cs="宋体"/>
                <w:kern w:val="0"/>
                <w:sz w:val="20"/>
                <w:szCs w:val="20"/>
              </w:rPr>
              <w:t>配置</w:t>
            </w:r>
            <w:r>
              <w:rPr>
                <w:rFonts w:hint="eastAsia" w:ascii="仿宋_GB2312" w:hAnsi="宋体" w:eastAsia="仿宋_GB2312" w:cs="宋体"/>
                <w:spacing w:val="-20"/>
                <w:kern w:val="0"/>
                <w:sz w:val="20"/>
                <w:szCs w:val="20"/>
              </w:rPr>
              <w:t>（15分）</w:t>
            </w: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在职人员控制率（5分）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部门本年度实际在职人员数与编制数的比率，用以反映和考核部门对人员成本的控制程度。</w:t>
            </w:r>
          </w:p>
        </w:tc>
        <w:tc>
          <w:tcPr>
            <w:tcW w:w="3257"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2669"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left w:val="nil"/>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重点支出安排率（5分）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部门本年度预算安排的重点项目支出与部门项目总支出的比率，用以反映和考核部门对履行主要职责或完成重点任务的保障程度。</w:t>
            </w:r>
          </w:p>
        </w:tc>
        <w:tc>
          <w:tcPr>
            <w:tcW w:w="3257"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2410" w:hRule="atLeast"/>
          <w:jc w:val="center"/>
        </w:trPr>
        <w:tc>
          <w:tcPr>
            <w:tcW w:w="682" w:type="dxa"/>
            <w:vMerge w:val="continue"/>
            <w:tcBorders>
              <w:left w:val="single" w:color="auto" w:sz="4" w:space="0"/>
              <w:bottom w:val="single" w:color="auto" w:sz="4" w:space="0"/>
              <w:right w:val="single" w:color="auto" w:sz="4" w:space="0"/>
            </w:tcBorders>
            <w:noWrap w:val="0"/>
            <w:vAlign w:val="center"/>
          </w:tcPr>
          <w:p>
            <w:pPr>
              <w:rPr>
                <w:sz w:val="20"/>
                <w:szCs w:val="20"/>
              </w:rPr>
            </w:pPr>
          </w:p>
        </w:tc>
        <w:tc>
          <w:tcPr>
            <w:tcW w:w="850" w:type="dxa"/>
            <w:vMerge w:val="continue"/>
            <w:tcBorders>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变动率（5分）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部门本年度“三公经费”预算数与上年度“三公经费”预算数的变动比率，用以反映和考核部门对控制重点行政成本的努力程度。</w:t>
            </w:r>
          </w:p>
        </w:tc>
        <w:tc>
          <w:tcPr>
            <w:tcW w:w="325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636" w:hRule="atLeast"/>
          <w:jc w:val="center"/>
        </w:trPr>
        <w:tc>
          <w:tcPr>
            <w:tcW w:w="682" w:type="dxa"/>
            <w:vMerge w:val="restart"/>
            <w:tcBorders>
              <w:top w:val="nil"/>
              <w:left w:val="single" w:color="auto" w:sz="4" w:space="0"/>
              <w:right w:val="single" w:color="auto" w:sz="4" w:space="0"/>
            </w:tcBorders>
            <w:noWrap w:val="0"/>
            <w:textDirection w:val="tbRlV"/>
            <w:vAlign w:val="center"/>
          </w:tcPr>
          <w:p>
            <w:pPr>
              <w:widowControl/>
              <w:ind w:left="113" w:right="113"/>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r>
              <w:rPr>
                <w:rFonts w:hint="eastAsia" w:ascii="仿宋_GB2312" w:hAnsi="宋体" w:eastAsia="仿宋_GB2312" w:cs="宋体"/>
                <w:kern w:val="0"/>
                <w:sz w:val="20"/>
                <w:szCs w:val="20"/>
                <w:lang w:val="en-US" w:eastAsia="zh-CN"/>
              </w:rPr>
              <w:t>3</w:t>
            </w:r>
            <w:r>
              <w:rPr>
                <w:rFonts w:hint="eastAsia" w:ascii="仿宋_GB2312" w:hAnsi="宋体" w:eastAsia="仿宋_GB2312" w:cs="宋体"/>
                <w:kern w:val="0"/>
                <w:sz w:val="20"/>
                <w:szCs w:val="20"/>
              </w:rPr>
              <w:t>0分）</w:t>
            </w:r>
          </w:p>
        </w:tc>
        <w:tc>
          <w:tcPr>
            <w:tcW w:w="850" w:type="dxa"/>
            <w:vMerge w:val="restart"/>
            <w:tcBorders>
              <w:top w:val="nil"/>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执行</w:t>
            </w:r>
            <w:r>
              <w:rPr>
                <w:rFonts w:hint="eastAsia" w:ascii="仿宋_GB2312" w:hAnsi="宋体" w:eastAsia="仿宋_GB2312" w:cs="宋体"/>
                <w:spacing w:val="-20"/>
                <w:kern w:val="0"/>
                <w:sz w:val="20"/>
                <w:szCs w:val="20"/>
              </w:rPr>
              <w:t>（20分）</w:t>
            </w: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部门本年度预算完成数与预算数的比率，用以反映和考核部门预算完成程度。</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预算完成率=（预算完成数/预算数）×100%。完成年初预算计4分，未完成年初预算按比例扣减，预算完成数：部门本年度实际完成的预算数。预算数：财政部门批复的本年度部门预算数。</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2173"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left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部门本年度预算调整数与预算数的比率，用以反映和考核部门预算的调整程度。</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3013"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left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支付进度率</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部门实际支付进度与既定支付进度的比率，用以反映和考核部门预算执行的及时性和均衡性程度。</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1669"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left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结转结余控制率（4分）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部门本年度结转结余总额与上年结转结余总额增减比例，用以反映和考核部门对存量资金的实际控制程度。</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结转结余控制率=（本年结转结余总额-上年结转结余总额）/上年结转结余总额×100%。低于15%的计4分，每超过5个百分点扣1分，扣完为止。结转结余总额：部门本年度的结转资金与结余资金之和。</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1656"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公用经费控制率（2分）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部门本年度实际支出的公用经费总额与预算安排的公用经费总额的比率，用以反映和考核部门对机构运转成本的实际控制程度。</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公用经费控制率=（实际支出公用经费总额/预算安排公用经费总额）×100%。为100%的计2分，每超过1个百分点扣0.1分，扣完为止。</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1484" w:hRule="atLeast"/>
          <w:jc w:val="center"/>
        </w:trPr>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“三公经费”控制率（2分）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部门本年度“三公经费”实际支出数与预算安排数的比率，用以反映和考核部门对“三公经费”的实际控制程度。</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“三公经费”控制率=（“三公经费”实际支出数/“三公经费”预算安排数）×100%。为100%的计2分，每超过1个百分点扣0.5分，扣完为止。</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1928" w:hRule="atLeast"/>
          <w:jc w:val="center"/>
        </w:trPr>
        <w:tc>
          <w:tcPr>
            <w:tcW w:w="682" w:type="dxa"/>
            <w:vMerge w:val="restart"/>
            <w:tcBorders>
              <w:top w:val="single" w:color="auto" w:sz="4" w:space="0"/>
              <w:left w:val="single" w:color="auto" w:sz="4" w:space="0"/>
              <w:right w:val="single" w:color="auto" w:sz="4" w:space="0"/>
            </w:tcBorders>
            <w:noWrap w:val="0"/>
            <w:textDirection w:val="tbLrV"/>
            <w:vAlign w:val="center"/>
          </w:tcPr>
          <w:p>
            <w:pPr>
              <w:ind w:left="113" w:right="113" w:rightChars="0"/>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过程（</w:t>
            </w:r>
            <w:r>
              <w:rPr>
                <w:rFonts w:hint="eastAsia" w:ascii="仿宋_GB2312" w:hAnsi="宋体" w:eastAsia="仿宋_GB2312" w:cs="宋体"/>
                <w:kern w:val="0"/>
                <w:sz w:val="20"/>
                <w:szCs w:val="20"/>
                <w:lang w:val="en-US" w:eastAsia="zh-CN"/>
              </w:rPr>
              <w:t>3</w:t>
            </w:r>
            <w:r>
              <w:rPr>
                <w:rFonts w:hint="eastAsia" w:ascii="仿宋_GB2312" w:hAnsi="宋体" w:eastAsia="仿宋_GB2312" w:cs="宋体"/>
                <w:kern w:val="0"/>
                <w:sz w:val="20"/>
                <w:szCs w:val="20"/>
              </w:rPr>
              <w:t>0分）</w:t>
            </w:r>
          </w:p>
        </w:tc>
        <w:tc>
          <w:tcPr>
            <w:tcW w:w="85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w:t>
            </w:r>
          </w:p>
          <w:p>
            <w:pPr>
              <w:jc w:val="center"/>
              <w:rPr>
                <w:sz w:val="20"/>
                <w:szCs w:val="20"/>
              </w:rPr>
            </w:pPr>
            <w:r>
              <w:rPr>
                <w:rFonts w:hint="eastAsia" w:ascii="仿宋_GB2312" w:hAnsi="宋体" w:eastAsia="仿宋_GB2312" w:cs="宋体"/>
                <w:kern w:val="0"/>
                <w:sz w:val="20"/>
                <w:szCs w:val="20"/>
              </w:rPr>
              <w:t>执行</w:t>
            </w:r>
            <w:r>
              <w:rPr>
                <w:rFonts w:hint="eastAsia" w:ascii="仿宋_GB2312" w:hAnsi="宋体" w:eastAsia="仿宋_GB2312" w:cs="宋体"/>
                <w:spacing w:val="-20"/>
                <w:kern w:val="0"/>
                <w:sz w:val="20"/>
                <w:szCs w:val="20"/>
              </w:rPr>
              <w:t>（20分）</w:t>
            </w: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政府采购执行率（4分）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部门本年度实际政府采购金额与年初政府采购预算的比率，用以反映和考核部门政府采购预算执行情况。</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noWrap w:val="0"/>
            <w:textDirection w:val="tbRlV"/>
            <w:vAlign w:val="center"/>
          </w:tcPr>
          <w:p>
            <w:pPr>
              <w:ind w:left="113" w:right="113"/>
              <w:jc w:val="center"/>
              <w:rPr>
                <w:rFonts w:hint="eastAsia" w:ascii="仿宋_GB2312" w:hAnsi="宋体" w:eastAsia="仿宋_GB2312" w:cs="宋体"/>
                <w:kern w:val="0"/>
                <w:sz w:val="20"/>
                <w:szCs w:val="20"/>
              </w:rPr>
            </w:pPr>
          </w:p>
        </w:tc>
        <w:tc>
          <w:tcPr>
            <w:tcW w:w="850" w:type="dxa"/>
            <w:vMerge w:val="restart"/>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（5分）</w:t>
            </w: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管理制度健全性（2分）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部门为加强预算管理、规范财务行为而制定的管理制度是否健全完整，用以反映和考核部门预算管理制度对完成主要职责或促进事业发展的保障情况。</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已制定或具有预算资金管理办法、内部财务管理制度、会计核算制度等管理制度计1分；相关管理制度合法、合规、完整计0.5分；相关管理制度得到有效执行计0.5分。</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top w:val="nil"/>
              <w:left w:val="nil"/>
              <w:bottom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r>
              <w:rPr>
                <w:rFonts w:hint="eastAsia" w:ascii="仿宋_GB2312" w:hAnsi="宋体" w:eastAsia="仿宋_GB2312" w:cs="宋体"/>
                <w:kern w:val="0"/>
                <w:sz w:val="20"/>
                <w:szCs w:val="20"/>
                <w:lang w:val="en-US" w:eastAsia="zh-CN"/>
              </w:rPr>
              <w:t>2</w:t>
            </w:r>
            <w:r>
              <w:rPr>
                <w:rFonts w:hint="eastAsia" w:ascii="仿宋_GB2312" w:hAnsi="宋体" w:eastAsia="仿宋_GB2312" w:cs="宋体"/>
                <w:kern w:val="0"/>
                <w:sz w:val="20"/>
                <w:szCs w:val="20"/>
              </w:rPr>
              <w:t>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部门使用预算资金是否符合相关的预算财务管理制度的规定，用以反映和考核部门预算资金的规范运行情况。</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①符合国家财经法规和财务管理制度规定以及有关专项资金管理办法的规定计</w:t>
            </w:r>
            <w:r>
              <w:rPr>
                <w:rFonts w:hint="eastAsia" w:ascii="仿宋_GB2312" w:hAnsi="宋体" w:eastAsia="仿宋_GB2312" w:cs="宋体"/>
                <w:kern w:val="0"/>
                <w:sz w:val="20"/>
                <w:szCs w:val="20"/>
                <w:lang w:val="en-US" w:eastAsia="zh-CN"/>
              </w:rPr>
              <w:t>0.4</w:t>
            </w:r>
            <w:r>
              <w:rPr>
                <w:rFonts w:hint="eastAsia" w:ascii="仿宋_GB2312" w:hAnsi="宋体" w:eastAsia="仿宋_GB2312" w:cs="宋体"/>
                <w:kern w:val="0"/>
                <w:sz w:val="20"/>
                <w:szCs w:val="20"/>
              </w:rPr>
              <w:t>分；②资金的拨付有完整的审批程序和手续计0.</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分；③项目的重大开支经过评估论证计0.</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分；④符合部门预算批复的用途计0.</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分；⑤不存在截留、挤占、挪用、虚列支出等情况计0.</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分。</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1529"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top w:val="nil"/>
              <w:left w:val="nil"/>
              <w:bottom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预决算信息公开性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部门是否按照政府信息公开有关规定公开相关预决算信息，用以反映和考核部门预决算管理的公开透明情况。</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①按规定内容公开预决算信息计0.5分；②按规定时限公开预决算信息计0.5分。预决算信息是指与部门预算、执行、决算、监督、绩效等管理相关的信息。</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restart"/>
            <w:tcBorders>
              <w:top w:val="nil"/>
              <w:left w:val="nil"/>
              <w:right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（5分）</w:t>
            </w: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管理制度健全性（2分）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部门为加强资产管理、规范资产管理行为而制定的管理制度是否健全完整，用以反映和考核部门资产管理制度对完成主要职责或促进社会发展的保障情况。</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①制定或具有资产管理制度计1分；②相关资金管理制度合法、合规、完整计0.5分；③相关资产管理制度得到有效执行计0.5分。</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left w:val="nil"/>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资产管理安全性（2分）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部门的资产是否保存完整、使用合规、配置合理、处置规范、收入及时足额上缴，用以反映和考核部门资产安全运行情况。</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①资产保存完整计0.4分；②资产配置合理计0.4分；③资产处置规范计0.4分；④资产账务管理合规、帐实相符计0.4分；⑤资产有偿使用及处置收入及时足额上缴计0.4分。</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1355" w:hRule="atLeast"/>
          <w:jc w:val="center"/>
        </w:trPr>
        <w:tc>
          <w:tcPr>
            <w:tcW w:w="682" w:type="dxa"/>
            <w:vMerge w:val="continue"/>
            <w:tcBorders>
              <w:left w:val="single" w:color="auto" w:sz="4" w:space="0"/>
              <w:bottom w:val="single" w:color="000000" w:sz="4" w:space="0"/>
              <w:right w:val="single" w:color="auto" w:sz="4" w:space="0"/>
            </w:tcBorders>
            <w:noWrap w:val="0"/>
            <w:vAlign w:val="center"/>
          </w:tcPr>
          <w:p>
            <w:pPr>
              <w:rPr>
                <w:sz w:val="20"/>
                <w:szCs w:val="20"/>
              </w:rPr>
            </w:pPr>
          </w:p>
        </w:tc>
        <w:tc>
          <w:tcPr>
            <w:tcW w:w="850" w:type="dxa"/>
            <w:vMerge w:val="continue"/>
            <w:tcBorders>
              <w:left w:val="nil"/>
              <w:bottom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固定资产利用率（1分）</w:t>
            </w:r>
          </w:p>
        </w:tc>
        <w:tc>
          <w:tcPr>
            <w:tcW w:w="2413"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部门实际在用固定资产总额与所有固定资产总额的比率，用以反映和考核部门固定资产使用效率程度。</w:t>
            </w:r>
          </w:p>
        </w:tc>
        <w:tc>
          <w:tcPr>
            <w:tcW w:w="3257" w:type="dxa"/>
            <w:tcBorders>
              <w:top w:val="nil"/>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固定资产利用率=（实际在用固定资产总额/所有固定资产总额）×100%。利用率为100%的计1分，每降1个百分点扣0.1分，扣完为止。</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1403" w:hRule="atLeast"/>
          <w:jc w:val="center"/>
        </w:trPr>
        <w:tc>
          <w:tcPr>
            <w:tcW w:w="682" w:type="dxa"/>
            <w:vMerge w:val="restart"/>
            <w:tcBorders>
              <w:top w:val="nil"/>
              <w:left w:val="single" w:color="auto" w:sz="4" w:space="0"/>
              <w:right w:val="single" w:color="auto" w:sz="4" w:space="0"/>
            </w:tcBorders>
            <w:noWrap w:val="0"/>
            <w:textDirection w:val="tbRlV"/>
            <w:vAlign w:val="center"/>
          </w:tcPr>
          <w:p>
            <w:pPr>
              <w:ind w:left="113" w:right="113"/>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产出（</w:t>
            </w:r>
            <w:r>
              <w:rPr>
                <w:rFonts w:hint="eastAsia" w:ascii="仿宋_GB2312" w:hAnsi="宋体" w:eastAsia="仿宋_GB2312" w:cs="宋体"/>
                <w:kern w:val="0"/>
                <w:sz w:val="20"/>
                <w:szCs w:val="20"/>
                <w:lang w:val="en-US" w:eastAsia="zh-CN"/>
              </w:rPr>
              <w:t>5</w:t>
            </w:r>
            <w:r>
              <w:rPr>
                <w:rFonts w:hint="eastAsia" w:ascii="仿宋_GB2312" w:hAnsi="宋体" w:eastAsia="仿宋_GB2312" w:cs="宋体"/>
                <w:kern w:val="0"/>
                <w:sz w:val="20"/>
                <w:szCs w:val="20"/>
              </w:rPr>
              <w:t>0分）</w:t>
            </w:r>
          </w:p>
        </w:tc>
        <w:tc>
          <w:tcPr>
            <w:tcW w:w="850" w:type="dxa"/>
            <w:vMerge w:val="restart"/>
            <w:tcBorders>
              <w:top w:val="single" w:color="auto" w:sz="4" w:space="0"/>
              <w:left w:val="nil"/>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履行</w:t>
            </w:r>
            <w:r>
              <w:rPr>
                <w:rFonts w:hint="eastAsia" w:ascii="仿宋_GB2312" w:hAnsi="宋体" w:eastAsia="仿宋_GB2312" w:cs="宋体"/>
                <w:spacing w:val="-20"/>
                <w:kern w:val="0"/>
                <w:sz w:val="20"/>
                <w:szCs w:val="20"/>
              </w:rPr>
              <w:t>（30分）</w:t>
            </w:r>
          </w:p>
        </w:tc>
        <w:tc>
          <w:tcPr>
            <w:tcW w:w="99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实际完成率</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部门履行职责而实际完成工作数与计划工作数的比率，用以反映和考核部门履职工作任务目标的实现程度。</w:t>
            </w:r>
          </w:p>
        </w:tc>
        <w:tc>
          <w:tcPr>
            <w:tcW w:w="3257"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实际完成率得分=完成市委市政府绩效考核得分或上级主管部门考核指标得分/指标分值*8分。</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1409" w:hRule="atLeast"/>
          <w:jc w:val="center"/>
        </w:trPr>
        <w:tc>
          <w:tcPr>
            <w:tcW w:w="682" w:type="dxa"/>
            <w:vMerge w:val="continue"/>
            <w:tcBorders>
              <w:left w:val="single" w:color="auto" w:sz="4" w:space="0"/>
              <w:right w:val="single" w:color="auto" w:sz="4" w:space="0"/>
            </w:tcBorders>
            <w:noWrap w:val="0"/>
            <w:textDirection w:val="tbRlV"/>
            <w:vAlign w:val="center"/>
          </w:tcPr>
          <w:p>
            <w:pPr>
              <w:ind w:left="113" w:right="113"/>
              <w:jc w:val="center"/>
              <w:rPr>
                <w:rFonts w:hint="eastAsia" w:ascii="仿宋_GB2312" w:hAnsi="宋体" w:eastAsia="仿宋_GB2312" w:cs="宋体"/>
                <w:kern w:val="0"/>
                <w:sz w:val="20"/>
                <w:szCs w:val="20"/>
              </w:rPr>
            </w:pPr>
          </w:p>
        </w:tc>
        <w:tc>
          <w:tcPr>
            <w:tcW w:w="850" w:type="dxa"/>
            <w:vMerge w:val="continue"/>
            <w:tcBorders>
              <w:left w:val="nil"/>
              <w:right w:val="single" w:color="auto" w:sz="4" w:space="0"/>
            </w:tcBorders>
            <w:noWrap w:val="0"/>
            <w:vAlign w:val="center"/>
          </w:tcPr>
          <w:p>
            <w:pPr>
              <w:jc w:val="center"/>
              <w:rPr>
                <w:rFonts w:hint="eastAsia" w:ascii="仿宋_GB2312" w:hAnsi="宋体" w:eastAsia="仿宋_GB2312" w:cs="宋体"/>
                <w:kern w:val="0"/>
                <w:sz w:val="20"/>
                <w:szCs w:val="20"/>
              </w:rPr>
            </w:pPr>
          </w:p>
        </w:tc>
        <w:tc>
          <w:tcPr>
            <w:tcW w:w="99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完成及时率</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部门在规定时限内及时完成的实际工作数与计划工作数的比率,用以反映和考核部门履职时效目标的实现程度。</w:t>
            </w:r>
          </w:p>
        </w:tc>
        <w:tc>
          <w:tcPr>
            <w:tcW w:w="3257"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完成及时率=（及时完成实际工作数/计划工作数）×100%。1-4季度各得1分。</w:t>
            </w:r>
          </w:p>
          <w:p>
            <w:pPr>
              <w:pStyle w:val="2"/>
              <w:rPr>
                <w:rFonts w:hint="eastAsia"/>
                <w:lang w:eastAsia="zh-CN"/>
              </w:rPr>
            </w:pP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1630" w:hRule="atLeast"/>
          <w:jc w:val="center"/>
        </w:trPr>
        <w:tc>
          <w:tcPr>
            <w:tcW w:w="682" w:type="dxa"/>
            <w:vMerge w:val="continue"/>
            <w:tcBorders>
              <w:left w:val="single" w:color="auto" w:sz="4" w:space="0"/>
              <w:right w:val="single" w:color="auto" w:sz="4" w:space="0"/>
            </w:tcBorders>
            <w:noWrap w:val="0"/>
            <w:textDirection w:val="tbRlV"/>
            <w:vAlign w:val="center"/>
          </w:tcPr>
          <w:p>
            <w:pPr>
              <w:ind w:left="113" w:right="113"/>
              <w:jc w:val="center"/>
              <w:rPr>
                <w:rFonts w:hint="eastAsia" w:ascii="仿宋_GB2312" w:hAnsi="宋体" w:eastAsia="仿宋_GB2312" w:cs="宋体"/>
                <w:kern w:val="0"/>
                <w:sz w:val="20"/>
                <w:szCs w:val="20"/>
              </w:rPr>
            </w:pPr>
          </w:p>
        </w:tc>
        <w:tc>
          <w:tcPr>
            <w:tcW w:w="850" w:type="dxa"/>
            <w:vMerge w:val="continue"/>
            <w:tcBorders>
              <w:left w:val="nil"/>
              <w:right w:val="single" w:color="auto" w:sz="4" w:space="0"/>
            </w:tcBorders>
            <w:noWrap w:val="0"/>
            <w:vAlign w:val="center"/>
          </w:tcPr>
          <w:p>
            <w:pPr>
              <w:jc w:val="center"/>
              <w:rPr>
                <w:rFonts w:hint="eastAsia" w:ascii="仿宋_GB2312" w:hAnsi="宋体" w:eastAsia="仿宋_GB2312" w:cs="宋体"/>
                <w:kern w:val="0"/>
                <w:sz w:val="20"/>
                <w:szCs w:val="20"/>
              </w:rPr>
            </w:pPr>
          </w:p>
        </w:tc>
        <w:tc>
          <w:tcPr>
            <w:tcW w:w="99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质量达标率</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达到质量标准（绩效标准值）的实际工作数与计划工作数的比率,用以反映和考核部门履职质量目标的实现程度。</w:t>
            </w:r>
          </w:p>
        </w:tc>
        <w:tc>
          <w:tcPr>
            <w:tcW w:w="3257"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质量达标率=（质量达标实际工作数/计划工作数）×100%。实际得分=达标率*8分。</w:t>
            </w:r>
          </w:p>
        </w:tc>
        <w:tc>
          <w:tcPr>
            <w:tcW w:w="6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1539" w:hRule="atLeast"/>
          <w:jc w:val="center"/>
        </w:trPr>
        <w:tc>
          <w:tcPr>
            <w:tcW w:w="682" w:type="dxa"/>
            <w:vMerge w:val="continue"/>
            <w:tcBorders>
              <w:left w:val="single" w:color="auto" w:sz="4" w:space="0"/>
              <w:right w:val="single" w:color="auto" w:sz="4" w:space="0"/>
            </w:tcBorders>
            <w:noWrap w:val="0"/>
            <w:textDirection w:val="tbRlV"/>
            <w:vAlign w:val="center"/>
          </w:tcPr>
          <w:p>
            <w:pPr>
              <w:ind w:left="113" w:right="113"/>
              <w:jc w:val="center"/>
              <w:rPr>
                <w:rFonts w:hint="eastAsia" w:ascii="仿宋_GB2312" w:hAnsi="宋体" w:eastAsia="仿宋_GB2312" w:cs="宋体"/>
                <w:kern w:val="0"/>
                <w:sz w:val="20"/>
                <w:szCs w:val="20"/>
              </w:rPr>
            </w:pPr>
          </w:p>
        </w:tc>
        <w:tc>
          <w:tcPr>
            <w:tcW w:w="85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99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重点工作办结率</w:t>
            </w:r>
            <w:r>
              <w:rPr>
                <w:rFonts w:hint="eastAsia" w:ascii="仿宋_GB2312" w:hAnsi="宋体" w:eastAsia="仿宋_GB2312" w:cs="宋体"/>
                <w:spacing w:val="-20"/>
                <w:kern w:val="0"/>
                <w:sz w:val="20"/>
                <w:szCs w:val="20"/>
              </w:rPr>
              <w:t>（10分）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部门年度重点工作实际完成数与交办或下达数的比率，用以反映部门对重点工作的办理落实程度。</w:t>
            </w:r>
          </w:p>
        </w:tc>
        <w:tc>
          <w:tcPr>
            <w:tcW w:w="3257"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重点工作办结率=（重点工作实际完成数/交办或下达数）×100%。实际得分=办结率*10分。</w:t>
            </w:r>
          </w:p>
        </w:tc>
        <w:tc>
          <w:tcPr>
            <w:tcW w:w="62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10</w:t>
            </w:r>
          </w:p>
        </w:tc>
      </w:tr>
      <w:tr>
        <w:tblPrEx>
          <w:tblCellMar>
            <w:top w:w="0" w:type="dxa"/>
            <w:left w:w="108" w:type="dxa"/>
            <w:bottom w:w="0" w:type="dxa"/>
            <w:right w:w="108" w:type="dxa"/>
          </w:tblCellMar>
        </w:tblPrEx>
        <w:trPr>
          <w:trHeight w:val="546" w:hRule="atLeast"/>
          <w:jc w:val="center"/>
        </w:trPr>
        <w:tc>
          <w:tcPr>
            <w:tcW w:w="682" w:type="dxa"/>
            <w:vMerge w:val="continue"/>
            <w:tcBorders>
              <w:left w:val="single" w:color="auto" w:sz="4" w:space="0"/>
              <w:right w:val="single" w:color="auto" w:sz="4" w:space="0"/>
            </w:tcBorders>
            <w:noWrap w:val="0"/>
            <w:textDirection w:val="tbRlV"/>
            <w:vAlign w:val="center"/>
          </w:tcPr>
          <w:p>
            <w:pPr>
              <w:ind w:left="113" w:right="113"/>
              <w:jc w:val="center"/>
              <w:rPr>
                <w:sz w:val="20"/>
                <w:szCs w:val="20"/>
              </w:rPr>
            </w:pPr>
          </w:p>
        </w:tc>
        <w:tc>
          <w:tcPr>
            <w:tcW w:w="85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 效益</w:t>
            </w:r>
            <w:r>
              <w:rPr>
                <w:rFonts w:hint="eastAsia" w:ascii="仿宋_GB2312" w:hAnsi="宋体" w:eastAsia="仿宋_GB2312" w:cs="宋体"/>
                <w:spacing w:val="-20"/>
                <w:kern w:val="0"/>
                <w:sz w:val="20"/>
                <w:szCs w:val="20"/>
              </w:rPr>
              <w:t>（20分）</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效益</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（5分）</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部门履行职责对经济发展所带来的直接或间接影响。</w:t>
            </w:r>
          </w:p>
        </w:tc>
        <w:tc>
          <w:tcPr>
            <w:tcW w:w="3257"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按经济效益实现程度计算得分（5分）。</w:t>
            </w:r>
          </w:p>
        </w:tc>
        <w:tc>
          <w:tcPr>
            <w:tcW w:w="6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556"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效益</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（5分）</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部门履行职责对社会发展所带来的直接或间接影响。</w:t>
            </w:r>
          </w:p>
        </w:tc>
        <w:tc>
          <w:tcPr>
            <w:tcW w:w="3257" w:type="dxa"/>
            <w:tcBorders>
              <w:top w:val="single" w:color="auto" w:sz="4" w:space="0"/>
              <w:left w:val="single" w:color="auto" w:sz="4" w:space="0"/>
              <w:bottom w:val="single" w:color="auto" w:sz="4" w:space="0"/>
              <w:right w:val="single" w:color="000000" w:sz="4" w:space="0"/>
            </w:tcBorders>
            <w:noWrap w:val="0"/>
            <w:vAlign w:val="center"/>
          </w:tcPr>
          <w:p>
            <w:pPr>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按社会效益实现程度计算得分（5分）。</w:t>
            </w:r>
          </w:p>
        </w:tc>
        <w:tc>
          <w:tcPr>
            <w:tcW w:w="6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225" w:hRule="atLeast"/>
          <w:jc w:val="center"/>
        </w:trPr>
        <w:tc>
          <w:tcPr>
            <w:tcW w:w="682" w:type="dxa"/>
            <w:vMerge w:val="continue"/>
            <w:tcBorders>
              <w:left w:val="single" w:color="auto" w:sz="4" w:space="0"/>
              <w:right w:val="single" w:color="auto" w:sz="4" w:space="0"/>
            </w:tcBorders>
            <w:noWrap w:val="0"/>
            <w:vAlign w:val="center"/>
          </w:tcPr>
          <w:p>
            <w:pPr>
              <w:rPr>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noWrap w:val="0"/>
            <w:vAlign w:val="center"/>
          </w:tcPr>
          <w:p>
            <w:pPr>
              <w:rPr>
                <w:sz w:val="20"/>
                <w:szCs w:val="20"/>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效益</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（5分）</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部门履行职责对生态环境所带来的直接或间接影响。</w:t>
            </w:r>
          </w:p>
        </w:tc>
        <w:tc>
          <w:tcPr>
            <w:tcW w:w="3257" w:type="dxa"/>
            <w:tcBorders>
              <w:top w:val="single" w:color="auto" w:sz="4" w:space="0"/>
              <w:left w:val="single" w:color="auto" w:sz="4" w:space="0"/>
              <w:bottom w:val="single" w:color="auto" w:sz="4" w:space="0"/>
              <w:right w:val="single" w:color="000000" w:sz="4" w:space="0"/>
            </w:tcBorders>
            <w:noWrap w:val="0"/>
            <w:vAlign w:val="center"/>
          </w:tcPr>
          <w:p>
            <w:pPr>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按生态效益实现程度计算得分（5分）。</w:t>
            </w:r>
          </w:p>
        </w:tc>
        <w:tc>
          <w:tcPr>
            <w:tcW w:w="625" w:type="dxa"/>
            <w:tcBorders>
              <w:top w:val="single" w:color="auto" w:sz="4" w:space="0"/>
              <w:left w:val="nil"/>
              <w:bottom w:val="single" w:color="auto" w:sz="4" w:space="0"/>
              <w:right w:val="single" w:color="auto" w:sz="4" w:space="0"/>
            </w:tcBorders>
            <w:noWrap w:val="0"/>
            <w:vAlign w:val="center"/>
          </w:tcPr>
          <w:p>
            <w:pPr>
              <w:jc w:val="center"/>
              <w:rPr>
                <w:rFonts w:hint="eastAsia" w:eastAsiaTheme="minorEastAsia"/>
                <w:b/>
                <w:sz w:val="20"/>
                <w:szCs w:val="20"/>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974" w:hRule="atLeast"/>
          <w:jc w:val="center"/>
        </w:trPr>
        <w:tc>
          <w:tcPr>
            <w:tcW w:w="682" w:type="dxa"/>
            <w:vMerge w:val="continue"/>
            <w:tcBorders>
              <w:left w:val="single" w:color="auto" w:sz="4" w:space="0"/>
              <w:bottom w:val="single" w:color="auto" w:sz="4" w:space="0"/>
              <w:right w:val="single" w:color="auto" w:sz="4" w:space="0"/>
            </w:tcBorders>
            <w:noWrap w:val="0"/>
            <w:vAlign w:val="center"/>
          </w:tcPr>
          <w:p>
            <w:pP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9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社会公众或服务对象满意度（5分）</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社会公众或部门的服务对象对部门履职效果的满意程度。</w:t>
            </w:r>
          </w:p>
        </w:tc>
        <w:tc>
          <w:tcPr>
            <w:tcW w:w="3257"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按收集到的服务对象的满意率计算得分（5分），社会公众或服务对象是指部门（单位）履行职责而影响到的部门、群体或个人，一般采取社会调查的方式。</w:t>
            </w:r>
          </w:p>
        </w:tc>
        <w:tc>
          <w:tcPr>
            <w:tcW w:w="6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826" w:hRule="atLeast"/>
          <w:jc w:val="center"/>
        </w:trPr>
        <w:tc>
          <w:tcPr>
            <w:tcW w:w="2525" w:type="dxa"/>
            <w:gridSpan w:val="3"/>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自评总分</w:t>
            </w:r>
          </w:p>
        </w:tc>
        <w:tc>
          <w:tcPr>
            <w:tcW w:w="62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99</w:t>
            </w:r>
          </w:p>
        </w:tc>
      </w:tr>
    </w:tbl>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38C6A"/>
    <w:multiLevelType w:val="singleLevel"/>
    <w:tmpl w:val="86F38C6A"/>
    <w:lvl w:ilvl="0" w:tentative="0">
      <w:start w:val="1"/>
      <w:numFmt w:val="chineseCounting"/>
      <w:suff w:val="nothing"/>
      <w:lvlText w:val="（%1）"/>
      <w:lvlJc w:val="left"/>
      <w:rPr>
        <w:rFonts w:hint="eastAsia"/>
      </w:rPr>
    </w:lvl>
  </w:abstractNum>
  <w:abstractNum w:abstractNumId="1">
    <w:nsid w:val="AAAF11E3"/>
    <w:multiLevelType w:val="singleLevel"/>
    <w:tmpl w:val="AAAF11E3"/>
    <w:lvl w:ilvl="0" w:tentative="0">
      <w:start w:val="1"/>
      <w:numFmt w:val="chineseCounting"/>
      <w:suff w:val="nothing"/>
      <w:lvlText w:val="%1、"/>
      <w:lvlJc w:val="left"/>
      <w:rPr>
        <w:rFonts w:hint="eastAsia"/>
      </w:rPr>
    </w:lvl>
  </w:abstractNum>
  <w:abstractNum w:abstractNumId="2">
    <w:nsid w:val="AC7A0D6E"/>
    <w:multiLevelType w:val="singleLevel"/>
    <w:tmpl w:val="AC7A0D6E"/>
    <w:lvl w:ilvl="0" w:tentative="0">
      <w:start w:val="8"/>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A90559B"/>
    <w:rsid w:val="1C293E6C"/>
    <w:rsid w:val="1CE20ECA"/>
    <w:rsid w:val="1E307770"/>
    <w:rsid w:val="382D3FDE"/>
    <w:rsid w:val="4BD4758A"/>
    <w:rsid w:val="4DAF3707"/>
    <w:rsid w:val="58C75E36"/>
    <w:rsid w:val="5B3C7DB7"/>
    <w:rsid w:val="613A1DF1"/>
    <w:rsid w:val="63FF4D9E"/>
    <w:rsid w:val="6D471548"/>
    <w:rsid w:val="6DC349A4"/>
    <w:rsid w:val="77AC20EB"/>
    <w:rsid w:val="7D6A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13003</Words>
  <Characters>13817</Characters>
  <Lines>69</Lines>
  <Paragraphs>19</Paragraphs>
  <TotalTime>2</TotalTime>
  <ScaleCrop>false</ScaleCrop>
  <LinksUpToDate>false</LinksUpToDate>
  <CharactersWithSpaces>13872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sky丶歆</cp:lastModifiedBy>
  <cp:lastPrinted>2022-07-27T12:55:00Z</cp:lastPrinted>
  <dcterms:modified xsi:type="dcterms:W3CDTF">2023-10-07T07:37:06Z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B4D4942ACAE94F96B4F301FC0DD8D6FF_13</vt:lpwstr>
  </property>
</Properties>
</file>