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企业服务中心部门决算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第一部分企业服务中心单位概况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rPr>
        <w:t>及决算单位构成</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企业服务中心单位概况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0"/>
        <w:snapToGrid w:val="0"/>
        <w:spacing w:line="520" w:lineRule="exact"/>
        <w:ind w:left="720" w:leftChars="343" w:firstLine="600"/>
        <w:rPr>
          <w:rFonts w:asciiTheme="minorEastAsia" w:hAnsiTheme="minorEastAsia"/>
          <w:sz w:val="30"/>
          <w:szCs w:val="30"/>
        </w:rPr>
      </w:pPr>
      <w:r>
        <w:rPr>
          <w:rFonts w:hint="eastAsia" w:asciiTheme="minorEastAsia" w:hAnsiTheme="minorEastAsia"/>
          <w:sz w:val="30"/>
          <w:szCs w:val="30"/>
        </w:rPr>
        <w:t>负责高新区入园</w:t>
      </w:r>
      <w:r>
        <w:rPr>
          <w:rFonts w:hint="eastAsia" w:cs="仿宋" w:asciiTheme="minorEastAsia" w:hAnsiTheme="minorEastAsia"/>
          <w:sz w:val="30"/>
          <w:szCs w:val="30"/>
        </w:rPr>
        <w:t>企业提供行政审批代理、代办服务和其他综合服务</w:t>
      </w:r>
      <w:r>
        <w:rPr>
          <w:rFonts w:hint="eastAsia" w:asciiTheme="minorEastAsia" w:hAnsiTheme="minorEastAsia"/>
          <w:sz w:val="30"/>
          <w:szCs w:val="30"/>
        </w:rPr>
        <w:t>；负责高新区入园企业的水、电、气、通讯等配套设施的开户和使用手续等工作。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napToGrid w:val="0"/>
        <w:spacing w:line="520" w:lineRule="exact"/>
        <w:ind w:firstLine="640" w:firstLineChars="200"/>
        <w:rPr>
          <w:rFonts w:asciiTheme="minorEastAsia" w:hAnsiTheme="minorEastAsia"/>
          <w:sz w:val="30"/>
          <w:szCs w:val="30"/>
        </w:rPr>
      </w:pPr>
      <w:r>
        <w:rPr>
          <w:rFonts w:hint="eastAsia" w:asciiTheme="minorEastAsia" w:hAnsiTheme="minorEastAsia"/>
          <w:bCs/>
          <w:kern w:val="0"/>
          <w:sz w:val="32"/>
          <w:szCs w:val="32"/>
        </w:rPr>
        <w:t>（一）</w:t>
      </w:r>
      <w:r>
        <w:rPr>
          <w:rFonts w:hint="eastAsia" w:asciiTheme="minorEastAsia" w:hAnsiTheme="minorEastAsia"/>
          <w:sz w:val="30"/>
          <w:szCs w:val="30"/>
        </w:rPr>
        <w:t>益阳高新区直属正科级事业单位, 分设办公室（含财务工作）、调度组和工程组。</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（二）企业服务中心</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21年部门决算汇总公开单位构成包括：企业服务中心单位本级。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5000" w:type="pct"/>
        <w:tblInd w:w="0" w:type="dxa"/>
        <w:tblLayout w:type="autofit"/>
        <w:tblCellMar>
          <w:top w:w="0" w:type="dxa"/>
          <w:left w:w="108" w:type="dxa"/>
          <w:bottom w:w="0" w:type="dxa"/>
          <w:right w:w="108" w:type="dxa"/>
        </w:tblCellMar>
      </w:tblPr>
      <w:tblGrid>
        <w:gridCol w:w="5048"/>
        <w:gridCol w:w="678"/>
        <w:gridCol w:w="992"/>
        <w:gridCol w:w="4737"/>
        <w:gridCol w:w="678"/>
        <w:gridCol w:w="2041"/>
      </w:tblGrid>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178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4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7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20"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55" w:hRule="atLeast"/>
        </w:trPr>
        <w:tc>
          <w:tcPr>
            <w:tcW w:w="2370" w:type="pct"/>
            <w:gridSpan w:val="3"/>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部门：益阳高新区政务中心（益阳高新区企业服务中心）</w:t>
            </w:r>
          </w:p>
        </w:tc>
        <w:tc>
          <w:tcPr>
            <w:tcW w:w="167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20"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37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2630" w:type="pct"/>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34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72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4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580.71</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288.14</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三、国有资本经营预算财政拨款收入</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四、上级补助收入</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五、事业收入</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六、经营收入</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七、附属单位上缴收入</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八、其他收入</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15.08</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153.47</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580.71</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580.71</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781"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34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580.71</w:t>
            </w:r>
          </w:p>
        </w:tc>
        <w:tc>
          <w:tcPr>
            <w:tcW w:w="167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72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580.71</w:t>
            </w:r>
          </w:p>
        </w:tc>
      </w:tr>
      <w:tr>
        <w:tblPrEx>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注：1.本表反映部门本年度的总收支和年末结转结余情况。</w:t>
            </w:r>
          </w:p>
        </w:tc>
      </w:tr>
      <w:tr>
        <w:tblPrEx>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2.本套报表金额单位转换时可能存在尾数误差。</w:t>
            </w:r>
          </w:p>
        </w:tc>
      </w:tr>
    </w:tbl>
    <w:p>
      <w:pPr>
        <w:jc w:val="center"/>
        <w:rPr>
          <w:rFonts w:ascii="黑体" w:hAnsi="黑体" w:eastAsia="黑体"/>
          <w:sz w:val="28"/>
          <w:szCs w:val="28"/>
        </w:rPr>
        <w:sectPr>
          <w:pgSz w:w="16838" w:h="11906" w:orient="landscape"/>
          <w:pgMar w:top="1134" w:right="1440" w:bottom="1134" w:left="1440" w:header="851" w:footer="992" w:gutter="0"/>
          <w:cols w:space="425" w:num="1"/>
          <w:docGrid w:type="linesAndChars" w:linePitch="312" w:charSpace="0"/>
        </w:sectPr>
      </w:pPr>
    </w:p>
    <w:tbl>
      <w:tblPr>
        <w:tblStyle w:val="5"/>
        <w:tblW w:w="5000" w:type="pct"/>
        <w:tblInd w:w="0" w:type="dxa"/>
        <w:tblLayout w:type="autofit"/>
        <w:tblCellMar>
          <w:top w:w="0" w:type="dxa"/>
          <w:left w:w="108" w:type="dxa"/>
          <w:bottom w:w="0" w:type="dxa"/>
          <w:right w:w="108" w:type="dxa"/>
        </w:tblCellMar>
      </w:tblPr>
      <w:tblGrid>
        <w:gridCol w:w="400"/>
        <w:gridCol w:w="315"/>
        <w:gridCol w:w="271"/>
        <w:gridCol w:w="5153"/>
        <w:gridCol w:w="1440"/>
        <w:gridCol w:w="1440"/>
        <w:gridCol w:w="1181"/>
        <w:gridCol w:w="1181"/>
        <w:gridCol w:w="1181"/>
        <w:gridCol w:w="1181"/>
        <w:gridCol w:w="1871"/>
      </w:tblGrid>
      <w:tr>
        <w:tblPrEx>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10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5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6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6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04"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trHeight w:val="255" w:hRule="atLeast"/>
        </w:trPr>
        <w:tc>
          <w:tcPr>
            <w:tcW w:w="2392" w:type="pct"/>
            <w:gridSpan w:val="5"/>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部门：益阳高新区政务中心（益阳高新区企业服务中心）</w:t>
            </w:r>
          </w:p>
        </w:tc>
        <w:tc>
          <w:tcPr>
            <w:tcW w:w="46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04"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1925"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67"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467"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384"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384"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384"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384"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604"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trHeight w:val="312" w:hRule="atLeast"/>
        </w:trPr>
        <w:tc>
          <w:tcPr>
            <w:tcW w:w="268"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1656" w:type="pct"/>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467"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67"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0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268"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5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67"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67"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0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268"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5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67"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67"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0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925"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6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6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384"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384"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384"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384"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604"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tblPrEx>
          <w:tblCellMar>
            <w:top w:w="0" w:type="dxa"/>
            <w:left w:w="108" w:type="dxa"/>
            <w:bottom w:w="0" w:type="dxa"/>
            <w:right w:w="108" w:type="dxa"/>
          </w:tblCellMar>
        </w:tblPrEx>
        <w:trPr>
          <w:trHeight w:val="308" w:hRule="atLeast"/>
        </w:trPr>
        <w:tc>
          <w:tcPr>
            <w:tcW w:w="1925"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580.71</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580.71</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288.14</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288.14</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286.74</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286.74</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144.70</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144.70</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142.04</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142.04</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其他共产党事务支出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2013602</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0.26</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0.26</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2013699</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其他共产党事务支出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1.14</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1.14</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20605</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科技条件与服务</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2060502</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技术创新服务体系</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15.08</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15.08</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人力资源和社会保障管理事务</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2080116</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引进人才费用</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14.48</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14.48</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12.46</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12.46</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2080506</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机关事业单位职业年金缴费支出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2.02</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2.02</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215</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资源勘探工业信息等支出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21505</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工业和信息产业监管</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2150599</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其他工业和信息产业监管支出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153.47</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153.47</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153.47</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153.47</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2299999</w:t>
            </w:r>
          </w:p>
        </w:tc>
        <w:tc>
          <w:tcPr>
            <w:tcW w:w="165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153.47</w:t>
            </w:r>
          </w:p>
        </w:tc>
        <w:tc>
          <w:tcPr>
            <w:tcW w:w="4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153.47</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0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5"/>
        <w:tblW w:w="5000" w:type="pct"/>
        <w:tblInd w:w="0" w:type="dxa"/>
        <w:tblLayout w:type="autofit"/>
        <w:tblCellMar>
          <w:top w:w="0" w:type="dxa"/>
          <w:left w:w="108" w:type="dxa"/>
          <w:bottom w:w="0" w:type="dxa"/>
          <w:right w:w="108" w:type="dxa"/>
        </w:tblCellMar>
      </w:tblPr>
      <w:tblGrid>
        <w:gridCol w:w="402"/>
        <w:gridCol w:w="315"/>
        <w:gridCol w:w="269"/>
        <w:gridCol w:w="5481"/>
        <w:gridCol w:w="1540"/>
        <w:gridCol w:w="1540"/>
        <w:gridCol w:w="1541"/>
        <w:gridCol w:w="1266"/>
        <w:gridCol w:w="1266"/>
        <w:gridCol w:w="1994"/>
      </w:tblGrid>
      <w:tr>
        <w:tblPrEx>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12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5"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58"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08"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08"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4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CellMar>
            <w:top w:w="0" w:type="dxa"/>
            <w:left w:w="108" w:type="dxa"/>
            <w:bottom w:w="0" w:type="dxa"/>
            <w:right w:w="108" w:type="dxa"/>
          </w:tblCellMar>
        </w:tblPrEx>
        <w:trPr>
          <w:trHeight w:val="255" w:hRule="atLeast"/>
        </w:trPr>
        <w:tc>
          <w:tcPr>
            <w:tcW w:w="2551" w:type="pct"/>
            <w:gridSpan w:val="5"/>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部门：益阳高新区政务中心（益阳高新区企业服务中心）</w:t>
            </w:r>
          </w:p>
        </w:tc>
        <w:tc>
          <w:tcPr>
            <w:tcW w:w="49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08"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08"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4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055"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96"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496"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496"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408"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408"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641"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297"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1758" w:type="pct"/>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496"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6"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6"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8"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8"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41"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297"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5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6"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6"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6"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8"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8"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41"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297"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5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6"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6"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6"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8"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8"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41"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055"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9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9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49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408"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08"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641"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2055"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580.71</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306.24</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274.46</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288.14</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228.29</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59.85</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286.74</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227.73</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59.01</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144.70</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144.40</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0.31</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142.04</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83.34</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58.70</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其他共产党事务支出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0.56</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0.85</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2013602</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0.26</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0.26</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2013699</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其他共产党事务支出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1.14</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0.30</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0.85</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20605</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科技条件与服务</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2060502</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技术创新服务体系</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15.08</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15.08</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人力资源和社会保障管理事务</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2080116</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引进人才费用</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14.48</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14.48</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12.46</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12.46</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2080506</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机关事业单位职业年金缴费支出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2.02</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2.02</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215</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资源勘探工业信息等支出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21505</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工业和信息产业监管</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2150599</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其他工业和信息产业监管支出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153.47</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48.23</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105.24</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153.47</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48.23</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105.24</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2299999</w:t>
            </w:r>
          </w:p>
        </w:tc>
        <w:tc>
          <w:tcPr>
            <w:tcW w:w="175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153.47</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48.23</w:t>
            </w:r>
          </w:p>
        </w:tc>
        <w:tc>
          <w:tcPr>
            <w:tcW w:w="4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105.24</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5"/>
        <w:tblW w:w="5000" w:type="pct"/>
        <w:tblInd w:w="0" w:type="dxa"/>
        <w:tblLayout w:type="autofit"/>
        <w:tblCellMar>
          <w:top w:w="0" w:type="dxa"/>
          <w:left w:w="108" w:type="dxa"/>
          <w:bottom w:w="0" w:type="dxa"/>
          <w:right w:w="108" w:type="dxa"/>
        </w:tblCellMar>
      </w:tblPr>
      <w:tblGrid>
        <w:gridCol w:w="3679"/>
        <w:gridCol w:w="494"/>
        <w:gridCol w:w="1412"/>
        <w:gridCol w:w="4170"/>
        <w:gridCol w:w="495"/>
        <w:gridCol w:w="876"/>
        <w:gridCol w:w="1413"/>
        <w:gridCol w:w="1150"/>
        <w:gridCol w:w="1925"/>
      </w:tblGrid>
      <w:tr>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118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5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3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5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18"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1794" w:type="pct"/>
            <w:gridSpan w:val="3"/>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部门：益阳高新区政务中心（益阳高新区企业服务中心）</w:t>
            </w:r>
          </w:p>
        </w:tc>
        <w:tc>
          <w:tcPr>
            <w:tcW w:w="133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5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18"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1794"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3206" w:type="pct"/>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trHeight w:val="312" w:hRule="atLeast"/>
        </w:trPr>
        <w:tc>
          <w:tcPr>
            <w:tcW w:w="1180" w:type="pct"/>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60"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454"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1337"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60"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267" w:type="pct"/>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54"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370"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618"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CellMar>
            <w:top w:w="0" w:type="dxa"/>
            <w:left w:w="108" w:type="dxa"/>
            <w:bottom w:w="0" w:type="dxa"/>
            <w:right w:w="108" w:type="dxa"/>
          </w:tblCellMar>
        </w:tblPrEx>
        <w:trPr>
          <w:trHeight w:val="615" w:hRule="atLeast"/>
        </w:trPr>
        <w:tc>
          <w:tcPr>
            <w:tcW w:w="118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0"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54"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3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0"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6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54"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70"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1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67"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454"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37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618"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580.71</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288.14</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288.14</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三、国有资本经营财政拨款</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15.08</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15.08</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153.47</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153.47</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580.71</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580.71</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580.71</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一般公共预算财政拨款</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政府性基金预算财政拨款</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国有资本经营预算财政拨款</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63</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8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580.71</w:t>
            </w:r>
          </w:p>
        </w:tc>
        <w:tc>
          <w:tcPr>
            <w:tcW w:w="1337"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16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64</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580.71</w:t>
            </w:r>
          </w:p>
        </w:tc>
        <w:tc>
          <w:tcPr>
            <w:tcW w:w="45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580.71</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1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382" w:type="pct"/>
            <w:gridSpan w:val="8"/>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c>
          <w:tcPr>
            <w:tcW w:w="618" w:type="pct"/>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5000" w:type="pct"/>
        <w:tblInd w:w="0" w:type="dxa"/>
        <w:tblLayout w:type="autofit"/>
        <w:tblCellMar>
          <w:top w:w="0" w:type="dxa"/>
          <w:left w:w="108" w:type="dxa"/>
          <w:bottom w:w="0" w:type="dxa"/>
          <w:right w:w="108" w:type="dxa"/>
        </w:tblCellMar>
      </w:tblPr>
      <w:tblGrid>
        <w:gridCol w:w="505"/>
        <w:gridCol w:w="387"/>
        <w:gridCol w:w="334"/>
        <w:gridCol w:w="6905"/>
        <w:gridCol w:w="2305"/>
        <w:gridCol w:w="2305"/>
        <w:gridCol w:w="2873"/>
      </w:tblGrid>
      <w:tr>
        <w:tblPrEx>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16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1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38"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38"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2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3341" w:type="pct"/>
            <w:gridSpan w:val="5"/>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部门：益阳高新区政务中心（益阳高新区企业服务中心）</w:t>
            </w:r>
          </w:p>
        </w:tc>
        <w:tc>
          <w:tcPr>
            <w:tcW w:w="738"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2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603"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397" w:type="pct"/>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393"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2211" w:type="pct"/>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738"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738"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921"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393"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1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3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3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2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393"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1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3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3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2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03"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738"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738"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92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2603"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580.71</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306.24</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274.46</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288.14</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228.29</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59.85</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286.74</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227.73</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59.01</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144.70</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144.40</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0.31</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142.04</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83.34</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58.70</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其他共产党事务支出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0.56</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0.85</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2013602</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0.26</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0.26</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2013699</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其他共产党事务支出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1.14</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0.30</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0.85</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20605</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科技条件与服务</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2060502</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技术创新服务体系</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99.51</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15.08</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15.08</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人力资源和社会保障管理事务</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2080116</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引进人才费用</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14.48</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14.48</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12.46</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12.46</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2080506</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机关事业单位职业年金缴费支出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2.02</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2.02</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5.59</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215</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资源勘探工业信息等支出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21505</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工业和信息产业监管</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2150599</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其他工业和信息产业监管支出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153.47</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48.23</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105.24</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153.47</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48.23</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105.24</w:t>
            </w:r>
          </w:p>
        </w:tc>
      </w:tr>
      <w:tr>
        <w:tblPrEx>
          <w:tblCellMar>
            <w:top w:w="0" w:type="dxa"/>
            <w:left w:w="108" w:type="dxa"/>
            <w:bottom w:w="0" w:type="dxa"/>
            <w:right w:w="108" w:type="dxa"/>
          </w:tblCellMar>
        </w:tblPrEx>
        <w:trPr>
          <w:trHeight w:val="308" w:hRule="atLeast"/>
        </w:trPr>
        <w:tc>
          <w:tcPr>
            <w:tcW w:w="393"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2299999</w:t>
            </w:r>
          </w:p>
        </w:tc>
        <w:tc>
          <w:tcPr>
            <w:tcW w:w="221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153.47</w:t>
            </w:r>
          </w:p>
        </w:tc>
        <w:tc>
          <w:tcPr>
            <w:tcW w:w="7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48.23</w:t>
            </w:r>
          </w:p>
        </w:tc>
        <w:tc>
          <w:tcPr>
            <w:tcW w:w="9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105.24</w:t>
            </w:r>
          </w:p>
        </w:tc>
      </w:tr>
      <w:tr>
        <w:tblPrEx>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5000" w:type="pct"/>
        <w:tblInd w:w="0" w:type="dxa"/>
        <w:tblLayout w:type="autofit"/>
        <w:tblCellMar>
          <w:top w:w="0" w:type="dxa"/>
          <w:left w:w="108" w:type="dxa"/>
          <w:bottom w:w="0" w:type="dxa"/>
          <w:right w:w="108" w:type="dxa"/>
        </w:tblCellMar>
      </w:tblPr>
      <w:tblGrid>
        <w:gridCol w:w="110"/>
        <w:gridCol w:w="569"/>
        <w:gridCol w:w="731"/>
        <w:gridCol w:w="1307"/>
        <w:gridCol w:w="1008"/>
        <w:gridCol w:w="264"/>
        <w:gridCol w:w="792"/>
        <w:gridCol w:w="297"/>
        <w:gridCol w:w="384"/>
        <w:gridCol w:w="933"/>
        <w:gridCol w:w="1158"/>
        <w:gridCol w:w="176"/>
        <w:gridCol w:w="597"/>
        <w:gridCol w:w="680"/>
        <w:gridCol w:w="66"/>
        <w:gridCol w:w="1303"/>
        <w:gridCol w:w="1303"/>
        <w:gridCol w:w="1136"/>
        <w:gridCol w:w="202"/>
        <w:gridCol w:w="1201"/>
        <w:gridCol w:w="1397"/>
      </w:tblGrid>
      <w:tr>
        <w:tblPrEx>
          <w:tblCellMar>
            <w:top w:w="0" w:type="dxa"/>
            <w:left w:w="108" w:type="dxa"/>
            <w:bottom w:w="0" w:type="dxa"/>
            <w:right w:w="108" w:type="dxa"/>
          </w:tblCellMar>
        </w:tblPrEx>
        <w:trPr>
          <w:gridAfter w:val="1"/>
          <w:wAfter w:w="438" w:type="pct"/>
          <w:trHeight w:val="390" w:hRule="atLeast"/>
        </w:trPr>
        <w:tc>
          <w:tcPr>
            <w:tcW w:w="4562" w:type="pct"/>
            <w:gridSpan w:val="2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一般公共预算财政拨款基本支出决算明细表</w:t>
            </w:r>
          </w:p>
        </w:tc>
      </w:tr>
      <w:tr>
        <w:tblPrEx>
          <w:tblCellMar>
            <w:top w:w="0" w:type="dxa"/>
            <w:left w:w="108" w:type="dxa"/>
            <w:bottom w:w="0" w:type="dxa"/>
            <w:right w:w="108" w:type="dxa"/>
          </w:tblCellMar>
        </w:tblPrEx>
        <w:trPr>
          <w:gridAfter w:val="1"/>
          <w:wAfter w:w="438" w:type="pct"/>
          <w:trHeight w:val="255" w:hRule="atLeast"/>
        </w:trPr>
        <w:tc>
          <w:tcPr>
            <w:tcW w:w="226"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62" w:type="pct"/>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60"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7"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61"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55"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5"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07" w:type="pct"/>
            <w:gridSpan w:val="4"/>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50" w:type="pct"/>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公开06表</w:t>
            </w:r>
          </w:p>
        </w:tc>
      </w:tr>
      <w:tr>
        <w:tblPrEx>
          <w:tblCellMar>
            <w:top w:w="0" w:type="dxa"/>
            <w:left w:w="108" w:type="dxa"/>
            <w:bottom w:w="0" w:type="dxa"/>
            <w:right w:w="108" w:type="dxa"/>
          </w:tblCellMar>
        </w:tblPrEx>
        <w:trPr>
          <w:gridAfter w:val="1"/>
          <w:wAfter w:w="438" w:type="pct"/>
          <w:trHeight w:val="255" w:hRule="atLeast"/>
        </w:trPr>
        <w:tc>
          <w:tcPr>
            <w:tcW w:w="1548" w:type="pct"/>
            <w:gridSpan w:val="7"/>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部门：益阳高新区政务中心（益阳高新区企业服务中心）</w:t>
            </w:r>
          </w:p>
        </w:tc>
        <w:tc>
          <w:tcPr>
            <w:tcW w:w="227"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61"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55"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5"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07" w:type="pct"/>
            <w:gridSpan w:val="4"/>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50" w:type="pct"/>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After w:val="1"/>
          <w:wAfter w:w="438" w:type="pct"/>
          <w:trHeight w:val="308" w:hRule="atLeast"/>
        </w:trPr>
        <w:tc>
          <w:tcPr>
            <w:tcW w:w="1548" w:type="pct"/>
            <w:gridSpan w:val="7"/>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3014" w:type="pct"/>
            <w:gridSpan w:val="1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gridAfter w:val="1"/>
          <w:wAfter w:w="438" w:type="pct"/>
          <w:trHeight w:val="312" w:hRule="atLeast"/>
        </w:trPr>
        <w:tc>
          <w:tcPr>
            <w:tcW w:w="226" w:type="pct"/>
            <w:gridSpan w:val="2"/>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962" w:type="pct"/>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360" w:type="pct"/>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227" w:type="pct"/>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661" w:type="pct"/>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55" w:type="pct"/>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215"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1207" w:type="pct"/>
            <w:gridSpan w:val="4"/>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450" w:type="pct"/>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gridAfter w:val="1"/>
          <w:wAfter w:w="438" w:type="pct"/>
          <w:trHeight w:val="312" w:hRule="atLeast"/>
        </w:trPr>
        <w:tc>
          <w:tcPr>
            <w:tcW w:w="226"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62" w:type="pct"/>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60" w:type="pct"/>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7" w:type="pct"/>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61" w:type="pct"/>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55" w:type="pct"/>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07" w:type="pct"/>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50" w:type="pct"/>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104.86</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157.07</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30101</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18.64</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30201</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5.06</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30701</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国内债务付息</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30102</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18.82</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30202</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印刷费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24.14</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30702</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国外债务付息</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30103</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奖金</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30203</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咨询费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资本性支出</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24.98</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30106</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30204</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手续费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31001</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房屋建筑物购建</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30107</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31.18</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30205</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31002</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办公设备购置</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1.76</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30108</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15.69</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30206</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电费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0.08</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31003</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专用设备购置</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30109</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2.61</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30207</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邮电费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0.39</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31005</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30110</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职工基本医疗保险缴费</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5.65</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30208</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取暖费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31006</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大型修缮</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30111</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公务员医疗补助缴费</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2.60</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30209</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物业管理费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31007</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信息网络及软件购置更新</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23.22</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30112</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0.62</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30211</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差旅费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0.75</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31008</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物资储备</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30113</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9.05</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30212</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因公出国（境）费用</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31009</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土地补偿</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30114</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30213</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维修（护）费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31010</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安置补助</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30199</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其他工资福利支出</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30214</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租赁费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0.74</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31011</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地上附着物和青苗补偿</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19.33</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30215</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会议费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0.29</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31012</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拆迁补偿</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30301</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30216</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0.36</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31013</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30302</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30217</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1.62</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31019</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30303</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30218</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5.03</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31021</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30304</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30224</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31022</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30305</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19.33</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30225</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31099</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30306</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30226</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53.50</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30307</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30227</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11.95</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39906</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赠与</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30308</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39907</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30309</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30229</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3.01</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39908</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30310</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30231</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公务用车运行维护费</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39999</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30311</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代缴社会保险费</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30239</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30399</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其他对个人和家庭的补助</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30240</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226"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62" w:type="pct"/>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7"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30299</w:t>
            </w:r>
          </w:p>
        </w:tc>
        <w:tc>
          <w:tcPr>
            <w:tcW w:w="661" w:type="pct"/>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其他商品和服务支出</w:t>
            </w:r>
          </w:p>
        </w:tc>
        <w:tc>
          <w:tcPr>
            <w:tcW w:w="2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46.98</w:t>
            </w:r>
          </w:p>
        </w:tc>
        <w:tc>
          <w:tcPr>
            <w:tcW w:w="215"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7" w:type="pct"/>
            <w:gridSpan w:val="4"/>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38" w:type="pct"/>
          <w:trHeight w:val="308" w:hRule="atLeast"/>
        </w:trPr>
        <w:tc>
          <w:tcPr>
            <w:tcW w:w="1188" w:type="pct"/>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36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124.19</w:t>
            </w:r>
          </w:p>
        </w:tc>
        <w:tc>
          <w:tcPr>
            <w:tcW w:w="2564" w:type="pct"/>
            <w:gridSpan w:val="11"/>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450"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182.05</w:t>
            </w:r>
          </w:p>
        </w:tc>
      </w:tr>
      <w:tr>
        <w:tblPrEx>
          <w:tblCellMar>
            <w:top w:w="0" w:type="dxa"/>
            <w:left w:w="108" w:type="dxa"/>
            <w:bottom w:w="0" w:type="dxa"/>
            <w:right w:w="108" w:type="dxa"/>
          </w:tblCellMar>
        </w:tblPrEx>
        <w:trPr>
          <w:gridAfter w:val="1"/>
          <w:wAfter w:w="438" w:type="pct"/>
          <w:trHeight w:val="308" w:hRule="atLeast"/>
        </w:trPr>
        <w:tc>
          <w:tcPr>
            <w:tcW w:w="4562" w:type="pct"/>
            <w:gridSpan w:val="2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r>
        <w:tblPrEx>
          <w:tblCellMar>
            <w:top w:w="0" w:type="dxa"/>
            <w:left w:w="108" w:type="dxa"/>
            <w:bottom w:w="0" w:type="dxa"/>
            <w:right w:w="108" w:type="dxa"/>
          </w:tblCellMar>
        </w:tblPrEx>
        <w:trPr>
          <w:gridAfter w:val="1"/>
          <w:wAfter w:w="438" w:type="pct"/>
          <w:trHeight w:val="308" w:hRule="atLeast"/>
        </w:trPr>
        <w:tc>
          <w:tcPr>
            <w:tcW w:w="4562" w:type="pct"/>
            <w:gridSpan w:val="20"/>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一般公共预算财政拨款“三公”经费支出决算表</w:t>
            </w:r>
          </w:p>
        </w:tc>
      </w:tr>
      <w:tr>
        <w:tblPrEx>
          <w:tblCellMar>
            <w:top w:w="0" w:type="dxa"/>
            <w:left w:w="108" w:type="dxa"/>
            <w:bottom w:w="0" w:type="dxa"/>
            <w:right w:w="108" w:type="dxa"/>
          </w:tblCellMar>
        </w:tblPrEx>
        <w:trPr>
          <w:gridBefore w:val="1"/>
          <w:wBefore w:w="37" w:type="pct"/>
          <w:trHeight w:val="255" w:hRule="atLeast"/>
        </w:trPr>
        <w:tc>
          <w:tcPr>
            <w:tcW w:w="420"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08"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69"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3"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4"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33" w:type="pct"/>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5"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38"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CellMar>
            <w:top w:w="0" w:type="dxa"/>
            <w:left w:w="108" w:type="dxa"/>
            <w:bottom w:w="0" w:type="dxa"/>
            <w:right w:w="108" w:type="dxa"/>
          </w:tblCellMar>
        </w:tblPrEx>
        <w:trPr>
          <w:gridBefore w:val="1"/>
          <w:wBefore w:w="37" w:type="pct"/>
          <w:trHeight w:val="255" w:hRule="atLeast"/>
        </w:trPr>
        <w:tc>
          <w:tcPr>
            <w:tcW w:w="1610" w:type="pct"/>
            <w:gridSpan w:val="7"/>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部门：益阳高新区政务中心（益阳高新区企业服务中心）</w:t>
            </w:r>
          </w:p>
        </w:tc>
        <w:tc>
          <w:tcPr>
            <w:tcW w:w="423"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4"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33" w:type="pct"/>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5"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38"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Before w:val="1"/>
          <w:wBefore w:w="37" w:type="pct"/>
          <w:trHeight w:val="308" w:hRule="atLeast"/>
        </w:trPr>
        <w:tc>
          <w:tcPr>
            <w:tcW w:w="2457" w:type="pct"/>
            <w:gridSpan w:val="11"/>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2505" w:type="pct"/>
            <w:gridSpan w:val="9"/>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gridBefore w:val="1"/>
          <w:wBefore w:w="37" w:type="pct"/>
          <w:trHeight w:val="308" w:hRule="atLeast"/>
        </w:trPr>
        <w:tc>
          <w:tcPr>
            <w:tcW w:w="420" w:type="pct"/>
            <w:gridSpan w:val="2"/>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13"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1200" w:type="pct"/>
            <w:gridSpan w:val="6"/>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424" w:type="pct"/>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433" w:type="pct"/>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13"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1222" w:type="pct"/>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438"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CellMar>
            <w:top w:w="0" w:type="dxa"/>
            <w:left w:w="108" w:type="dxa"/>
            <w:bottom w:w="0" w:type="dxa"/>
            <w:right w:w="108" w:type="dxa"/>
          </w:tblCellMar>
        </w:tblPrEx>
        <w:trPr>
          <w:gridBefore w:val="1"/>
          <w:wBefore w:w="37" w:type="pct"/>
          <w:trHeight w:val="615" w:hRule="atLeast"/>
        </w:trPr>
        <w:tc>
          <w:tcPr>
            <w:tcW w:w="420"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8"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369"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423"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424" w:type="pct"/>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33" w:type="pct"/>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3"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425"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384"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43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Before w:val="1"/>
          <w:wBefore w:w="37" w:type="pct"/>
          <w:trHeight w:val="308" w:hRule="atLeast"/>
        </w:trPr>
        <w:tc>
          <w:tcPr>
            <w:tcW w:w="420" w:type="pct"/>
            <w:gridSpan w:val="2"/>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13"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408"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369"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23"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424"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433" w:type="pct"/>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413"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413"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425"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384"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438"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CellMar>
            <w:top w:w="0" w:type="dxa"/>
            <w:left w:w="108" w:type="dxa"/>
            <w:bottom w:w="0" w:type="dxa"/>
            <w:right w:w="108" w:type="dxa"/>
          </w:tblCellMar>
        </w:tblPrEx>
        <w:trPr>
          <w:gridBefore w:val="1"/>
          <w:wBefore w:w="37" w:type="pct"/>
          <w:trHeight w:val="308" w:hRule="atLeast"/>
        </w:trPr>
        <w:tc>
          <w:tcPr>
            <w:tcW w:w="420"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41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3"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433"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1.62</w:t>
            </w:r>
          </w:p>
        </w:tc>
        <w:tc>
          <w:tcPr>
            <w:tcW w:w="41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1.62</w:t>
            </w:r>
          </w:p>
        </w:tc>
      </w:tr>
      <w:tr>
        <w:tblPrEx>
          <w:tblCellMar>
            <w:top w:w="0" w:type="dxa"/>
            <w:left w:w="108" w:type="dxa"/>
            <w:bottom w:w="0" w:type="dxa"/>
            <w:right w:w="108" w:type="dxa"/>
          </w:tblCellMar>
        </w:tblPrEx>
        <w:trPr>
          <w:gridBefore w:val="1"/>
          <w:wBefore w:w="37" w:type="pct"/>
          <w:trHeight w:val="615" w:hRule="atLeast"/>
        </w:trPr>
        <w:tc>
          <w:tcPr>
            <w:tcW w:w="4963" w:type="pct"/>
            <w:gridSpan w:val="20"/>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ind w:left="93"/>
        <w:jc w:val="center"/>
        <w:rPr>
          <w:rFonts w:ascii="Times New Roman" w:hAnsi="Times New Roman" w:eastAsia="方正小标宋_GBK" w:cs="Times New Roman"/>
          <w:color w:val="000000"/>
          <w:kern w:val="0"/>
          <w:sz w:val="36"/>
          <w:szCs w:val="21"/>
        </w:rPr>
      </w:pPr>
    </w:p>
    <w:tbl>
      <w:tblPr>
        <w:tblStyle w:val="5"/>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5"/>
        <w:gridCol w:w="290"/>
        <w:gridCol w:w="290"/>
        <w:gridCol w:w="4301"/>
        <w:gridCol w:w="1381"/>
        <w:gridCol w:w="1381"/>
        <w:gridCol w:w="1381"/>
        <w:gridCol w:w="1381"/>
        <w:gridCol w:w="1381"/>
        <w:gridCol w:w="2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0" w:name="RANGE!A1:I22"/>
            <w:bookmarkEnd w:id="0"/>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益阳高新区企业服务中心</w:t>
            </w: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城市基础设施配套费安排的支出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城市公共设施</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说明：本部门本年度无政府性基金预算财政拨款收入、支出，故本表无数据。</w:t>
            </w:r>
          </w:p>
        </w:tc>
      </w:tr>
    </w:tbl>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cs="Arial" w:asciiTheme="minorEastAsia" w:hAnsiTheme="minorEastAsia" w:eastAsiaTheme="minorEastAsia"/>
          <w:sz w:val="30"/>
          <w:szCs w:val="30"/>
        </w:rPr>
      </w:pPr>
      <w:r>
        <w:rPr>
          <w:rFonts w:hint="eastAsia" w:asciiTheme="minorEastAsia" w:hAnsiTheme="minorEastAsia" w:eastAsiaTheme="minorEastAsia"/>
          <w:sz w:val="32"/>
          <w:szCs w:val="32"/>
        </w:rPr>
        <w:t>2021年度收、支总计各580.71万元。与上年相比，各增加249.23万元，增长了75.19%，主要是因为增加了</w:t>
      </w:r>
      <w:r>
        <w:rPr>
          <w:rFonts w:hint="eastAsia" w:asciiTheme="minorEastAsia" w:hAnsiTheme="minorEastAsia" w:eastAsiaTheme="minorEastAsia"/>
          <w:sz w:val="30"/>
          <w:szCs w:val="30"/>
        </w:rPr>
        <w:t>高新区东部公交专线补贴、篮球比赛经费、工矿企业项目建设费、乒乓球赛经费等。其中基本支出上年度</w:t>
      </w:r>
      <w:r>
        <w:rPr>
          <w:rFonts w:hint="eastAsia" w:cs="Arial" w:asciiTheme="minorEastAsia" w:hAnsiTheme="minorEastAsia" w:eastAsiaTheme="minorEastAsia"/>
          <w:sz w:val="30"/>
          <w:szCs w:val="30"/>
        </w:rPr>
        <w:t>2404754.32元，相比上年，本年增加了</w:t>
      </w:r>
      <w:r>
        <w:rPr>
          <w:rFonts w:cs="Arial" w:asciiTheme="minorEastAsia" w:hAnsiTheme="minorEastAsia" w:eastAsiaTheme="minorEastAsia"/>
          <w:sz w:val="30"/>
          <w:szCs w:val="30"/>
        </w:rPr>
        <w:t>657686.89</w:t>
      </w:r>
      <w:r>
        <w:rPr>
          <w:rFonts w:hint="eastAsia" w:cs="Arial" w:asciiTheme="minorEastAsia" w:hAnsiTheme="minorEastAsia" w:eastAsiaTheme="minorEastAsia"/>
          <w:sz w:val="30"/>
          <w:szCs w:val="30"/>
        </w:rPr>
        <w:t>元，增长了27.35%，项目支出上年度</w:t>
      </w:r>
      <w:r>
        <w:rPr>
          <w:rFonts w:cs="Arial" w:asciiTheme="minorEastAsia" w:hAnsiTheme="minorEastAsia" w:eastAsiaTheme="minorEastAsia"/>
          <w:sz w:val="30"/>
          <w:szCs w:val="30"/>
        </w:rPr>
        <w:t>910000.00</w:t>
      </w:r>
      <w:r>
        <w:rPr>
          <w:rFonts w:hint="eastAsia" w:cs="Arial" w:asciiTheme="minorEastAsia" w:hAnsiTheme="minorEastAsia" w:eastAsiaTheme="minorEastAsia"/>
          <w:sz w:val="30"/>
          <w:szCs w:val="30"/>
        </w:rPr>
        <w:t>元，相比上年，本年增加了</w:t>
      </w:r>
      <w:r>
        <w:rPr>
          <w:rFonts w:cs="Arial" w:asciiTheme="minorEastAsia" w:hAnsiTheme="minorEastAsia" w:eastAsiaTheme="minorEastAsia"/>
          <w:sz w:val="30"/>
          <w:szCs w:val="30"/>
        </w:rPr>
        <w:t>1834630.00</w:t>
      </w:r>
      <w:r>
        <w:rPr>
          <w:rFonts w:hint="eastAsia" w:cs="Arial" w:asciiTheme="minorEastAsia" w:hAnsiTheme="minorEastAsia" w:eastAsiaTheme="minorEastAsia"/>
          <w:sz w:val="30"/>
          <w:szCs w:val="30"/>
        </w:rPr>
        <w:t>元，增长了</w:t>
      </w:r>
      <w:r>
        <w:rPr>
          <w:rFonts w:cs="Arial" w:asciiTheme="minorEastAsia" w:hAnsiTheme="minorEastAsia" w:eastAsiaTheme="minorEastAsia"/>
          <w:sz w:val="30"/>
          <w:szCs w:val="30"/>
        </w:rPr>
        <w:t>201.61</w:t>
      </w:r>
      <w:r>
        <w:rPr>
          <w:rFonts w:hint="eastAsia" w:cs="Arial" w:asciiTheme="minorEastAsia" w:hAnsiTheme="minorEastAsia" w:eastAsiaTheme="minorEastAsia"/>
          <w:sz w:val="30"/>
          <w:szCs w:val="30"/>
        </w:rPr>
        <w:t>%。</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2021年度收入合计580.71万元，其中：财政拨款收入580.71万元，占100%。</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2021年度支出合计580.71万元，其中：基本支出306.24万元，占52.74%；项目支出274.46万元，占47.26%。</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2021年度财政拨款收、支总计各580.71万元，与上年相比，各增加249.23万元,增长75.19%，主要是因为增加了</w:t>
      </w:r>
      <w:r>
        <w:rPr>
          <w:rFonts w:hint="eastAsia" w:asciiTheme="minorEastAsia" w:hAnsiTheme="minorEastAsia" w:eastAsiaTheme="minorEastAsia"/>
          <w:sz w:val="30"/>
          <w:szCs w:val="30"/>
        </w:rPr>
        <w:t>高新区东部公交专线补贴、篮球比赛经费、工矿企业项目建设费、乒乓球赛经费等。</w:t>
      </w:r>
    </w:p>
    <w:p>
      <w:pPr>
        <w:pStyle w:val="9"/>
        <w:rPr>
          <w:rFonts w:hAnsi="黑体"/>
          <w:b/>
          <w:sz w:val="32"/>
          <w:szCs w:val="32"/>
        </w:rPr>
      </w:pPr>
      <w:r>
        <w:rPr>
          <w:rFonts w:hint="eastAsia" w:hAnsi="黑体"/>
          <w:b/>
          <w:sz w:val="32"/>
          <w:szCs w:val="32"/>
        </w:rPr>
        <w:t>五、一般公共预算财政拨款支出决算情况说明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sz w:val="32"/>
          <w:szCs w:val="32"/>
        </w:rPr>
        <w:t>2021年度财政拨款支出580.71万元，占本年支出合计的100%，与上年相比，财政拨款支出增加249.23万元，增长75.19%，主要是因为增加了</w:t>
      </w:r>
      <w:r>
        <w:rPr>
          <w:rFonts w:hint="eastAsia" w:asciiTheme="minorEastAsia" w:hAnsiTheme="minorEastAsia" w:eastAsiaTheme="minorEastAsia"/>
          <w:sz w:val="30"/>
          <w:szCs w:val="30"/>
        </w:rPr>
        <w:t>高新区东部公交专线补贴、篮球比赛经费、工矿企业项目建设费、乒乓球赛经费等。</w:t>
      </w:r>
      <w:r>
        <w:rPr>
          <w:rFonts w:hint="eastAsia" w:asciiTheme="minorEastAsia" w:hAnsiTheme="minorEastAsia" w:eastAsiaTheme="minorEastAsia"/>
          <w:b/>
          <w:sz w:val="32"/>
          <w:szCs w:val="32"/>
        </w:rPr>
        <w:t>（二）财政拨款支出决算结构情况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580.71万元，主要用于以下方面：一般公共服务（类）支出288.14万元，占49.62%；科学技术支出99.51万元，占17.14%；社会保障和就业支出15.08万元，占2.6%；卫生健康支出5.59%，占0.96%；资源勘探工业信息等支出9.86万元，占1.7%；住房保障支出9.05万元，占1.56%；其他支出153.47万元，占26.43%。</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2021年度财政拨款支出年初预算数为693.61万元，支出决算数为580.71万元，完成年初预算的83.72%，其中：</w:t>
      </w:r>
    </w:p>
    <w:p>
      <w:pPr>
        <w:pStyle w:val="9"/>
        <w:numPr>
          <w:ilvl w:val="0"/>
          <w:numId w:val="2"/>
        </w:numPr>
        <w:ind w:firstLine="800" w:firstLineChars="250"/>
        <w:rPr>
          <w:rFonts w:ascii="宋体" w:hAnsi="宋体" w:eastAsia="宋体"/>
          <w:sz w:val="28"/>
          <w:szCs w:val="28"/>
        </w:rPr>
      </w:pPr>
      <w:r>
        <w:rPr>
          <w:rFonts w:hint="eastAsia" w:asciiTheme="minorEastAsia" w:hAnsiTheme="minorEastAsia" w:eastAsiaTheme="minorEastAsia"/>
          <w:sz w:val="32"/>
          <w:szCs w:val="32"/>
        </w:rPr>
        <w:t>一般公共服务（类）政府办公厅（室）及相关机构事务（款） 行政运行（项）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年初预算为120.52万元，支出决算为144.7万元，完成年初预算的120.06%，决算数大于年初预算数的主要原因是：</w:t>
      </w:r>
      <w:r>
        <w:rPr>
          <w:rFonts w:hint="eastAsia" w:ascii="宋体" w:hAnsi="宋体" w:eastAsia="宋体"/>
          <w:color w:val="auto"/>
          <w:sz w:val="28"/>
          <w:szCs w:val="28"/>
        </w:rPr>
        <w:t>年</w:t>
      </w:r>
      <w:r>
        <w:rPr>
          <w:rFonts w:hint="eastAsia" w:asciiTheme="minorEastAsia" w:hAnsiTheme="minorEastAsia" w:eastAsiaTheme="minorEastAsia"/>
          <w:sz w:val="32"/>
          <w:szCs w:val="32"/>
        </w:rPr>
        <w:t>中追加24.18万元。</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一般公共服务（类）政府办公厅（室）及相关机构事务（款） 其他政府办公厅（室）及相关机构事务支出（项）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年初预算为147.95万元，支出决算为142.04万元，完成年初预算的96%，决算数小于年初预算数的主要原因是：本年缩减了用于基本支出部分经费。</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一般公共服务（类）其他共产党事务支出（款） 一般行政管理事务（项）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年初预算为0万元，支出决算为0.26万元，由于预算数为0，无法计算百分比，决算数大于年初预算数的主要原因是：年中追加了0.26万元的事业单位人员培训费。</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一般公共服务（类）其他共产党事务支出（款）其他共产党事务支出（项）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年初预算为0.85万元，支出决算为1.14万元，完成年初预算的134.12%，决算数大于年初预算数的主要原因是增加了社区群众慰问费。</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科学技术支出（类）科技条件与服务（款）科技人才队伍建设支出（项）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年初预算为400万元，支出决算为0万元，完成年初预算的0%，决算数小于年初预算数的主要原因是：实际用于技术创新服务体系支出这一指标。</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科学技术支出（类）科技条件与服务（款）技术创新服务体系（项）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99.51万元，由于预算数为0，无法计算百分比，决算数大于年初预算数的主要原因是：实际已在科学技术基础研究科技人才队伍建设支出中做预算，用于益阳职业技术学院高新产业学院助学基金。</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社会保障和就业支出（类）人力资源和社会保障管理事务（款)引进人才费用(项）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年初预算为0万元，支出决算为0.6万元，由于预算数为0，无法计算百分比，决算数大于年初预算数的主要原因是：年中追加了0.6万元的20年下半年高层次人才补贴。</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社会保障和就业支出（类）行政事业单位养老支出（款)机关事业单位基本养老保险缴费支出(项）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年初预算为6.58万元，支出决算为12.46万元，完成年初预算的189.36%，决算数大于年初预算数的主要原因是：年中追加5.88万元，因21年3月起增加在编人员缴费人数。。</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社会保障和就业支出（类）行政事业单位养老支出（款) 机关事业单位职业年金缴费支出(项）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年初预算为3.29万元，支出决算为2.02万元，完成年初预算的61.4%，决算数小于年初预算数的主要原因是：部分从其他养老支出指标中支出。</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卫生健康支出（类）行政事业单位医疗（款）</w:t>
      </w:r>
      <w:r>
        <w:rPr>
          <w:rFonts w:hint="eastAsia" w:ascii="宋体" w:hAnsi="宋体" w:eastAsia="宋体"/>
          <w:sz w:val="28"/>
          <w:szCs w:val="28"/>
        </w:rPr>
        <w:t>公务员医疗补助</w:t>
      </w:r>
      <w:r>
        <w:rPr>
          <w:rFonts w:hint="eastAsia" w:asciiTheme="minorEastAsia" w:hAnsiTheme="minorEastAsia" w:eastAsiaTheme="minorEastAsia"/>
          <w:sz w:val="32"/>
          <w:szCs w:val="32"/>
        </w:rPr>
        <w:t>（项）</w:t>
      </w:r>
    </w:p>
    <w:p>
      <w:pPr>
        <w:pStyle w:val="9"/>
        <w:ind w:firstLine="700" w:firstLineChars="250"/>
        <w:rPr>
          <w:rFonts w:asciiTheme="minorEastAsia" w:hAnsiTheme="minorEastAsia" w:eastAsiaTheme="minorEastAsia"/>
          <w:sz w:val="32"/>
          <w:szCs w:val="32"/>
        </w:rPr>
      </w:pPr>
      <w:r>
        <w:rPr>
          <w:rFonts w:hint="eastAsia" w:ascii="宋体" w:hAnsi="宋体" w:eastAsia="宋体"/>
          <w:sz w:val="28"/>
          <w:szCs w:val="28"/>
        </w:rPr>
        <w:t>年初预算为2.31万元，支出决算为0万元，完成年初预算的0%，决算数小于年初预算数的主要原因是：</w:t>
      </w:r>
      <w:r>
        <w:rPr>
          <w:rFonts w:hint="eastAsia" w:ascii="宋体" w:hAnsi="宋体" w:eastAsia="宋体"/>
          <w:color w:val="auto"/>
          <w:sz w:val="28"/>
          <w:szCs w:val="28"/>
        </w:rPr>
        <w:t>用于其他医疗保障费用。</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卫生健康支出（类）行政事业单位医疗（款）事业单位医疗（项）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年初预算为5.04万元，支出决算为5.59万元，完成年初预算的110.91%，决算数大于年初预算数的主要原因是：因21年3月起增加在编人员缴费人数。</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资源勘探工业信息等支出（类）工业和信息产业监管（款）其他工业和信息产业监管支出（项）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年初预算为0万元，支出决算为9.86万元，由于预算数为0，无法计算百分比，决算数大于年初预算数的主要原因是：年中追加了9.86万元的工矿企业电力系统安装项目支出。</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住房保障支出（类）住房改革支出（款）住房公积金（项）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年初预算为7.07万元，支出决算为9.05万元，完成年初预算的128%，决算数大于年初预算数的主要原因是：年中工资有所调增，故住房公积金也增加。</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其他支出（类）其他支出（款）其他支出（项）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153.47万元，由于预算数为0，无法计算百分比，决算数大于年初预算数的主要原因是：年中追加了153.47万元的支出，其中包含了益阳高新区企业家协会专项经费、宝基南侧10KW杆线拆除工程、众旺公交东部专线补贴、工矿企业电力系统安装、泉龙线园山路支线架空线改入地工程等支出。</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306.24万元，其中：人员经费124.19万元，占基本支出的40.55%,主要包括基本工资、津贴补贴、奖金、机关事业单位基本养老保险缴费等；公用经费182.05万元，占基本支出的59.45%，主要包括办公费、印刷费、咨询费、手续费等。</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750" w:firstLineChars="250"/>
        <w:rPr>
          <w:rFonts w:asciiTheme="minorEastAsia" w:hAnsiTheme="minorEastAsia" w:eastAsiaTheme="minorEastAsia"/>
          <w:sz w:val="30"/>
          <w:szCs w:val="30"/>
        </w:rPr>
      </w:pPr>
      <w:r>
        <w:rPr>
          <w:rFonts w:hint="eastAsia" w:asciiTheme="minorEastAsia" w:hAnsiTheme="minorEastAsia" w:eastAsiaTheme="minorEastAsia"/>
          <w:sz w:val="30"/>
          <w:szCs w:val="30"/>
        </w:rPr>
        <w:t>2021年度“三公”经费财政拨款支出预算为3万元，支出决算为1.62万元，完成预算的54%，其中：</w:t>
      </w:r>
    </w:p>
    <w:p>
      <w:pPr>
        <w:pStyle w:val="9"/>
        <w:ind w:firstLine="750" w:firstLineChars="250"/>
        <w:rPr>
          <w:rFonts w:ascii="宋体" w:hAnsi="宋体" w:eastAsia="宋体" w:cs="宋体"/>
          <w:sz w:val="32"/>
          <w:szCs w:val="32"/>
        </w:rPr>
      </w:pPr>
      <w:r>
        <w:rPr>
          <w:rFonts w:hint="eastAsia" w:asciiTheme="minorEastAsia" w:hAnsiTheme="minorEastAsia" w:eastAsiaTheme="minorEastAsia"/>
          <w:sz w:val="30"/>
          <w:szCs w:val="30"/>
        </w:rPr>
        <w:t>因公出国（境）费支出预算为0万元，支出决算为0万元，</w:t>
      </w:r>
      <w:r>
        <w:rPr>
          <w:rFonts w:hint="eastAsia" w:ascii="宋体" w:hAnsi="宋体" w:eastAsia="宋体"/>
          <w:sz w:val="30"/>
          <w:szCs w:val="30"/>
        </w:rPr>
        <w:t>由于预算数为0，无法计算百分比。决算数等于预算数的主要</w:t>
      </w:r>
      <w:r>
        <w:rPr>
          <w:rFonts w:hint="eastAsia" w:ascii="宋体" w:hAnsi="宋体" w:eastAsia="宋体" w:cs="宋体"/>
          <w:sz w:val="32"/>
          <w:szCs w:val="32"/>
        </w:rPr>
        <w:t>原因是决算数与年初预算数一致，我单位严格按预算执行决算</w:t>
      </w:r>
      <w:r>
        <w:rPr>
          <w:rFonts w:hint="eastAsia" w:ascii="宋体" w:hAnsi="宋体" w:eastAsia="宋体"/>
          <w:sz w:val="30"/>
          <w:szCs w:val="30"/>
        </w:rPr>
        <w:t>。</w:t>
      </w:r>
      <w:r>
        <w:rPr>
          <w:rFonts w:hint="eastAsia" w:ascii="宋体" w:hAnsi="宋体" w:eastAsia="宋体" w:cs="宋体"/>
          <w:sz w:val="32"/>
          <w:szCs w:val="32"/>
        </w:rPr>
        <w:t>因公出国（境）费支出与上年持平，主要原因是2021年度我单位未开展因公出国（境）活动。</w:t>
      </w:r>
    </w:p>
    <w:p>
      <w:pPr>
        <w:pStyle w:val="9"/>
        <w:ind w:firstLine="750" w:firstLineChars="250"/>
        <w:rPr>
          <w:rFonts w:eastAsia="宋体" w:asciiTheme="minorEastAsia" w:hAnsiTheme="minorEastAsia"/>
          <w:sz w:val="30"/>
          <w:szCs w:val="30"/>
        </w:rPr>
      </w:pPr>
      <w:r>
        <w:rPr>
          <w:rFonts w:hint="eastAsia" w:asciiTheme="minorEastAsia" w:hAnsiTheme="minorEastAsia" w:eastAsiaTheme="minorEastAsia"/>
          <w:sz w:val="30"/>
          <w:szCs w:val="30"/>
        </w:rPr>
        <w:t>公务接待费支出预算为3万元，支出决算为1.62万元，完成预算的54%，决算数小于预算数的主要原因是</w:t>
      </w:r>
      <w:r>
        <w:rPr>
          <w:rFonts w:hint="eastAsia" w:ascii="宋体" w:hAnsi="宋体" w:eastAsia="宋体"/>
          <w:sz w:val="30"/>
          <w:szCs w:val="30"/>
        </w:rPr>
        <w:t>加强支出管理，严格控制公务接待支出；</w:t>
      </w:r>
      <w:r>
        <w:rPr>
          <w:rFonts w:hint="eastAsia" w:asciiTheme="minorEastAsia" w:hAnsiTheme="minorEastAsia" w:eastAsiaTheme="minorEastAsia"/>
          <w:sz w:val="30"/>
          <w:szCs w:val="30"/>
        </w:rPr>
        <w:t>与上年相比持平，</w:t>
      </w:r>
      <w:r>
        <w:rPr>
          <w:rFonts w:hint="eastAsia" w:ascii="宋体" w:hAnsi="宋体" w:eastAsia="宋体"/>
          <w:sz w:val="30"/>
          <w:szCs w:val="30"/>
        </w:rPr>
        <w:t>主要原因是加强支出管理，严格控制公务接待支出。</w:t>
      </w:r>
    </w:p>
    <w:p>
      <w:pPr>
        <w:pStyle w:val="9"/>
        <w:ind w:firstLine="750" w:firstLineChars="250"/>
        <w:rPr>
          <w:rFonts w:asciiTheme="minorEastAsia" w:hAnsiTheme="minorEastAsia" w:eastAsiaTheme="minorEastAsia"/>
          <w:sz w:val="30"/>
          <w:szCs w:val="30"/>
        </w:rPr>
      </w:pPr>
      <w:r>
        <w:rPr>
          <w:rFonts w:hint="eastAsia" w:ascii="宋体" w:hAnsi="宋体" w:eastAsia="宋体"/>
          <w:sz w:val="30"/>
          <w:szCs w:val="30"/>
        </w:rPr>
        <w:t>公务用车购置费及运行维护费支出预算为0万元，支出决算为0万元，由于预算数为0，无法计算百分比。决算数等于预算数的主要</w:t>
      </w:r>
      <w:r>
        <w:rPr>
          <w:rFonts w:hint="eastAsia" w:ascii="宋体" w:hAnsi="宋体" w:eastAsia="宋体" w:cs="宋体"/>
          <w:sz w:val="32"/>
          <w:szCs w:val="32"/>
        </w:rPr>
        <w:t>原因是决算数与年初预算数一致，我单位严格按预算执行决算</w:t>
      </w:r>
      <w:r>
        <w:rPr>
          <w:rFonts w:hint="eastAsia" w:ascii="宋体" w:hAnsi="宋体" w:eastAsia="宋体"/>
          <w:sz w:val="30"/>
          <w:szCs w:val="30"/>
        </w:rPr>
        <w:t>。公务用车购置费及运行维护费支出</w:t>
      </w:r>
      <w:r>
        <w:rPr>
          <w:rFonts w:hint="eastAsia" w:ascii="宋体" w:hAnsi="宋体" w:eastAsia="宋体" w:cs="宋体"/>
          <w:sz w:val="32"/>
          <w:szCs w:val="32"/>
        </w:rPr>
        <w:t>与上年持平，主要原因是我单位2021年度无公务用车购置费及运行维护费支出。</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2021年度“三公”经费财政拨款支出决算中，公务接待费支出决算1.62万元，占100%,因公出国（境）费支出决算0万元，占0%,公务用车购置费及运行维护费支出决算0万元，占0%。其中：</w:t>
      </w:r>
    </w:p>
    <w:p>
      <w:pPr>
        <w:pStyle w:val="9"/>
        <w:ind w:firstLine="600" w:firstLineChars="200"/>
        <w:rPr>
          <w:rFonts w:asciiTheme="minorEastAsia" w:hAnsiTheme="minorEastAsia" w:eastAsiaTheme="minorEastAsia"/>
          <w:b/>
          <w:sz w:val="30"/>
          <w:szCs w:val="30"/>
        </w:rPr>
      </w:pPr>
      <w:r>
        <w:rPr>
          <w:rFonts w:hint="eastAsia" w:asciiTheme="minorEastAsia" w:hAnsiTheme="minorEastAsia" w:eastAsiaTheme="minorEastAsia"/>
          <w:sz w:val="30"/>
          <w:szCs w:val="30"/>
        </w:rPr>
        <w:t>1、因公出国（境）费支出决算为0万元，全年安排因公出国（境）团组0个，累计0人次。</w:t>
      </w:r>
    </w:p>
    <w:p>
      <w:pPr>
        <w:pStyle w:val="9"/>
        <w:ind w:firstLine="750" w:firstLineChars="250"/>
        <w:rPr>
          <w:rFonts w:asciiTheme="minorEastAsia" w:hAnsiTheme="minorEastAsia" w:eastAsiaTheme="minorEastAsia"/>
          <w:sz w:val="30"/>
          <w:szCs w:val="30"/>
        </w:rPr>
      </w:pPr>
      <w:r>
        <w:rPr>
          <w:rFonts w:hint="eastAsia" w:asciiTheme="minorEastAsia" w:hAnsiTheme="minorEastAsia" w:eastAsiaTheme="minorEastAsia"/>
          <w:sz w:val="30"/>
          <w:szCs w:val="30"/>
        </w:rPr>
        <w:t>2、公务接待费支出决算为1.62万元，全年共接待来访团组18个、来宾245人次，主要是</w:t>
      </w:r>
      <w:r>
        <w:rPr>
          <w:rFonts w:hint="eastAsia" w:ascii="宋体" w:hAnsi="宋体" w:eastAsia="宋体" w:cs="华文仿宋"/>
          <w:sz w:val="30"/>
          <w:szCs w:val="30"/>
        </w:rPr>
        <w:t>项目协调服务和招商引资</w:t>
      </w:r>
      <w:r>
        <w:rPr>
          <w:rFonts w:hint="eastAsia" w:asciiTheme="minorEastAsia" w:hAnsiTheme="minorEastAsia" w:eastAsiaTheme="minorEastAsia"/>
          <w:sz w:val="30"/>
          <w:szCs w:val="30"/>
        </w:rPr>
        <w:t>发生的接待支出。</w:t>
      </w:r>
    </w:p>
    <w:p>
      <w:pPr>
        <w:ind w:firstLine="750" w:firstLineChars="250"/>
        <w:rPr>
          <w:rFonts w:cs="黑体" w:asciiTheme="minorEastAsia" w:hAnsiTheme="minorEastAsia"/>
          <w:color w:val="000000"/>
          <w:kern w:val="0"/>
          <w:sz w:val="30"/>
          <w:szCs w:val="30"/>
        </w:rPr>
      </w:pPr>
      <w:r>
        <w:rPr>
          <w:rFonts w:hint="eastAsia" w:asciiTheme="minorEastAsia" w:hAnsiTheme="minorEastAsia"/>
          <w:sz w:val="30"/>
          <w:szCs w:val="30"/>
        </w:rPr>
        <w:t>3、公务用车购置费及运行维护费支出决算为0万元，其中：公务用车购置费0万元</w:t>
      </w:r>
      <w:r>
        <w:rPr>
          <w:rFonts w:hint="eastAsia" w:asciiTheme="minorEastAsia" w:hAnsiTheme="minorEastAsia"/>
          <w:sz w:val="30"/>
          <w:szCs w:val="30"/>
          <w:lang w:eastAsia="zh-CN"/>
        </w:rPr>
        <w:t>，</w:t>
      </w:r>
      <w:r>
        <w:rPr>
          <w:rFonts w:hint="eastAsia" w:asciiTheme="minorEastAsia" w:hAnsiTheme="minorEastAsia"/>
          <w:sz w:val="30"/>
          <w:szCs w:val="30"/>
          <w:lang w:val="en-US" w:eastAsia="zh-CN"/>
        </w:rPr>
        <w:t>更新公务用车0辆</w:t>
      </w:r>
      <w:r>
        <w:rPr>
          <w:rFonts w:hint="eastAsia" w:asciiTheme="minorEastAsia" w:hAnsiTheme="minorEastAsia"/>
          <w:color w:val="000000" w:themeColor="text1"/>
          <w:sz w:val="30"/>
          <w:szCs w:val="30"/>
          <w14:textFill>
            <w14:solidFill>
              <w14:schemeClr w14:val="tx1"/>
            </w14:solidFill>
          </w14:textFill>
        </w:rPr>
        <w:t>。</w:t>
      </w:r>
      <w:r>
        <w:rPr>
          <w:rFonts w:hint="eastAsia" w:asciiTheme="minorEastAsia" w:hAnsiTheme="minorEastAsia"/>
          <w:sz w:val="30"/>
          <w:szCs w:val="30"/>
        </w:rPr>
        <w:t>公务用车运行维护费0万元，截止2021年12月31日，我单位开支财政拨款的公务用车保有量为0辆。</w:t>
      </w:r>
      <w:bookmarkStart w:id="1" w:name="_GoBack"/>
      <w:bookmarkEnd w:id="1"/>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2021年度政府性基金预算财政拨款收入0万元；年初结转和结余0万元；支出0万元，其中基本支出0万元，项目支出0万元；年末结转和结余0万元。</w:t>
      </w:r>
    </w:p>
    <w:p>
      <w:pPr>
        <w:pStyle w:val="9"/>
        <w:rPr>
          <w:rFonts w:hAnsi="黑体"/>
          <w:b/>
          <w:sz w:val="32"/>
          <w:szCs w:val="32"/>
        </w:rPr>
      </w:pPr>
      <w:r>
        <w:rPr>
          <w:rFonts w:hint="eastAsia" w:hAnsi="黑体"/>
          <w:b/>
          <w:sz w:val="32"/>
          <w:szCs w:val="32"/>
        </w:rPr>
        <w:t>九、机关运行经费支出说明</w:t>
      </w:r>
    </w:p>
    <w:p>
      <w:pPr>
        <w:pStyle w:val="9"/>
        <w:ind w:firstLine="600" w:firstLineChars="200"/>
        <w:rPr>
          <w:rFonts w:eastAsia="宋体" w:asciiTheme="minorEastAsia" w:hAnsiTheme="minorEastAsia"/>
          <w:sz w:val="30"/>
          <w:szCs w:val="30"/>
        </w:rPr>
      </w:pPr>
      <w:r>
        <w:rPr>
          <w:rFonts w:hint="eastAsia" w:asciiTheme="minorEastAsia" w:hAnsiTheme="minorEastAsia" w:eastAsiaTheme="minorEastAsia"/>
          <w:sz w:val="30"/>
          <w:szCs w:val="30"/>
        </w:rPr>
        <w:t>本部门2021年度机关运行经费支出182.05万元，比年初预算数增加1.45万元，增长0.8%。</w:t>
      </w:r>
      <w:r>
        <w:rPr>
          <w:rFonts w:hint="eastAsia" w:ascii="宋体" w:hAnsi="宋体" w:eastAsia="宋体" w:cs="宋体"/>
          <w:sz w:val="32"/>
          <w:szCs w:val="32"/>
        </w:rPr>
        <w:t>主要原因是：人员经费增加。</w:t>
      </w:r>
    </w:p>
    <w:p>
      <w:pPr>
        <w:pStyle w:val="9"/>
        <w:rPr>
          <w:rFonts w:hAnsi="黑体"/>
          <w:b/>
          <w:sz w:val="32"/>
          <w:szCs w:val="32"/>
        </w:rPr>
      </w:pPr>
      <w:r>
        <w:rPr>
          <w:rFonts w:hint="eastAsia" w:hAnsi="黑体"/>
          <w:b/>
          <w:sz w:val="32"/>
          <w:szCs w:val="32"/>
        </w:rPr>
        <w:t>十、一般性支出情况说明</w:t>
      </w:r>
    </w:p>
    <w:p>
      <w:pPr>
        <w:pStyle w:val="9"/>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本部门开支会议费0.29万元，人数62人，本年会议主要有220千伏复毛线跨铁路施工联系会、500千伏复宁线房屋拆迁联系会、500千伏复宁建设施工单位损坏设施赔偿协调会、220千伏益阳南（百竹园）变电站项目前期工作对接会等会议。开支培训费0.36万元，人数64人 ，本年培训主要有民法典讲课费、事业单位人员培训费；未</w:t>
      </w:r>
      <w:r>
        <w:rPr>
          <w:rFonts w:hint="eastAsia" w:ascii="宋体" w:hAnsi="宋体" w:eastAsia="宋体"/>
          <w:sz w:val="30"/>
          <w:szCs w:val="30"/>
        </w:rPr>
        <w:t>举办节庆、晚会、论坛、赛事活动。</w:t>
      </w:r>
    </w:p>
    <w:p>
      <w:pPr>
        <w:pStyle w:val="9"/>
        <w:rPr>
          <w:rFonts w:hAnsi="黑体"/>
          <w:b/>
          <w:sz w:val="32"/>
          <w:szCs w:val="32"/>
        </w:rPr>
      </w:pPr>
      <w:r>
        <w:rPr>
          <w:rFonts w:hint="eastAsia" w:hAnsi="黑体"/>
          <w:b/>
          <w:sz w:val="32"/>
          <w:szCs w:val="32"/>
        </w:rPr>
        <w:t>十一、政府采购支出说明</w:t>
      </w:r>
    </w:p>
    <w:p>
      <w:pPr>
        <w:pStyle w:val="9"/>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本部门2021年度政府采购支出总额24.98万元，其中：政府采购货物支出24.98万元、政府采购工程支出0万元、政府采购服务支出0万元。授予中小企业合同金额24.98万元，占政府采购支出总额的100%，</w:t>
      </w:r>
      <w:r>
        <w:rPr>
          <w:rFonts w:hint="eastAsia" w:ascii="宋体" w:hAnsi="宋体" w:eastAsia="宋体"/>
          <w:sz w:val="30"/>
          <w:szCs w:val="30"/>
        </w:rPr>
        <w:t>其中：授予小微企业合同金额0万元，占政府采购支出总额的0%。</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宋体" w:hAnsi="宋体" w:eastAsia="宋体" w:cs="宋体"/>
          <w:sz w:val="32"/>
          <w:szCs w:val="32"/>
        </w:rPr>
      </w:pPr>
      <w:r>
        <w:rPr>
          <w:rFonts w:hint="eastAsia" w:asciiTheme="minorEastAsia" w:hAnsiTheme="minorEastAsia" w:eastAsiaTheme="minorEastAsia"/>
          <w:sz w:val="32"/>
          <w:szCs w:val="32"/>
        </w:rPr>
        <w:t>截至2021年12月31日，</w:t>
      </w:r>
      <w:r>
        <w:rPr>
          <w:rFonts w:hint="eastAsia" w:ascii="宋体" w:hAnsi="宋体" w:eastAsia="宋体"/>
          <w:sz w:val="32"/>
          <w:szCs w:val="32"/>
        </w:rPr>
        <w:t>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9"/>
        <w:rPr>
          <w:rFonts w:hint="eastAsia" w:hAnsi="黑体"/>
          <w:b/>
          <w:sz w:val="32"/>
          <w:szCs w:val="32"/>
        </w:rPr>
      </w:pPr>
      <w:r>
        <w:rPr>
          <w:rFonts w:hint="eastAsia" w:hAnsi="黑体"/>
          <w:b/>
          <w:sz w:val="32"/>
          <w:szCs w:val="32"/>
        </w:rPr>
        <w:t>十三、2021年度预算绩效情况说明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我中心根据国家政策法规及部门实际情况，不断完善财务基础管理制度和约束机制，依法、有效的使用财政资金，加强资产管理、杜绝资产流失，严控各项经费支出，在预算范围内较好的完成了部门职能目标。</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2021年，企业服务中心在区工委、管委会的正确领导下，积极做好协调、帮扶、服务园区企业，水电气配套服务，协助优化园区营商环境等各项工作，较好完成了年度各项目标任务。</w:t>
      </w:r>
    </w:p>
    <w:p>
      <w:pPr>
        <w:pStyle w:val="9"/>
        <w:ind w:firstLine="600" w:firstLineChars="200"/>
        <w:rPr>
          <w:rFonts w:asciiTheme="minorEastAsia" w:hAnsiTheme="minorEastAsia" w:eastAsiaTheme="minorEastAsia"/>
          <w:sz w:val="30"/>
          <w:szCs w:val="30"/>
        </w:rPr>
      </w:pPr>
    </w:p>
    <w:p>
      <w:pPr>
        <w:pStyle w:val="9"/>
        <w:ind w:firstLine="600" w:firstLineChars="200"/>
        <w:rPr>
          <w:rFonts w:asciiTheme="minorEastAsia" w:hAnsiTheme="minorEastAsia" w:eastAsiaTheme="minorEastAsia"/>
          <w:sz w:val="30"/>
          <w:szCs w:val="30"/>
        </w:rPr>
      </w:pPr>
    </w:p>
    <w:p>
      <w:pPr>
        <w:pStyle w:val="9"/>
        <w:ind w:firstLine="600" w:firstLineChars="200"/>
        <w:rPr>
          <w:rFonts w:asciiTheme="minorEastAsia" w:hAnsiTheme="minorEastAsia" w:eastAsiaTheme="minorEastAsia"/>
          <w:sz w:val="30"/>
          <w:szCs w:val="30"/>
        </w:rPr>
      </w:pPr>
    </w:p>
    <w:p>
      <w:pPr>
        <w:pStyle w:val="9"/>
        <w:ind w:firstLine="600" w:firstLineChars="200"/>
        <w:rPr>
          <w:rFonts w:asciiTheme="minorEastAsia" w:hAnsiTheme="minorEastAsia" w:eastAsiaTheme="minorEastAsia"/>
          <w:sz w:val="30"/>
          <w:szCs w:val="30"/>
        </w:rPr>
      </w:pPr>
    </w:p>
    <w:p>
      <w:pPr>
        <w:pStyle w:val="9"/>
        <w:ind w:firstLine="600" w:firstLineChars="200"/>
        <w:rPr>
          <w:rFonts w:asciiTheme="minorEastAsia" w:hAnsiTheme="minorEastAsia" w:eastAsiaTheme="minorEastAsia"/>
          <w:sz w:val="30"/>
          <w:szCs w:val="30"/>
        </w:rPr>
      </w:pPr>
    </w:p>
    <w:p>
      <w:pPr>
        <w:pStyle w:val="9"/>
        <w:ind w:firstLine="600" w:firstLineChars="200"/>
        <w:rPr>
          <w:rFonts w:asciiTheme="minorEastAsia" w:hAnsiTheme="minorEastAsia" w:eastAsiaTheme="minorEastAsia"/>
          <w:sz w:val="30"/>
          <w:szCs w:val="30"/>
        </w:rPr>
      </w:pPr>
    </w:p>
    <w:p>
      <w:pPr>
        <w:pStyle w:val="9"/>
        <w:ind w:firstLine="600" w:firstLineChars="200"/>
        <w:rPr>
          <w:rFonts w:hint="eastAsia" w:asciiTheme="minorEastAsia" w:hAnsiTheme="minorEastAsia" w:eastAsiaTheme="minorEastAsia"/>
          <w:sz w:val="30"/>
          <w:szCs w:val="30"/>
        </w:rPr>
      </w:pPr>
    </w:p>
    <w:p>
      <w:pPr>
        <w:pStyle w:val="9"/>
        <w:ind w:firstLine="600" w:firstLineChars="200"/>
        <w:rPr>
          <w:rFonts w:hint="eastAsia" w:asciiTheme="minorEastAsia" w:hAnsiTheme="minorEastAsia" w:eastAsiaTheme="minorEastAsia"/>
          <w:sz w:val="30"/>
          <w:szCs w:val="30"/>
        </w:rPr>
      </w:pPr>
    </w:p>
    <w:p>
      <w:pPr>
        <w:pStyle w:val="9"/>
        <w:ind w:firstLine="600" w:firstLineChars="200"/>
        <w:rPr>
          <w:rFonts w:hint="eastAsia" w:asciiTheme="minorEastAsia" w:hAnsiTheme="minorEastAsia" w:eastAsiaTheme="minorEastAsia"/>
          <w:sz w:val="30"/>
          <w:szCs w:val="30"/>
        </w:rPr>
      </w:pPr>
    </w:p>
    <w:p>
      <w:pPr>
        <w:pStyle w:val="9"/>
        <w:ind w:firstLine="600" w:firstLineChars="200"/>
        <w:rPr>
          <w:rFonts w:asciiTheme="minorEastAsia" w:hAnsiTheme="minorEastAsia" w:eastAsiaTheme="minorEastAsia"/>
          <w:sz w:val="30"/>
          <w:szCs w:val="30"/>
        </w:rPr>
      </w:pPr>
    </w:p>
    <w:p>
      <w:pPr>
        <w:pStyle w:val="9"/>
        <w:ind w:firstLine="600" w:firstLineChars="200"/>
        <w:rPr>
          <w:rFonts w:asciiTheme="minorEastAsia" w:hAnsiTheme="minorEastAsia" w:eastAsiaTheme="minorEastAsia"/>
          <w:sz w:val="30"/>
          <w:szCs w:val="30"/>
        </w:rPr>
      </w:pPr>
    </w:p>
    <w:p>
      <w:pPr>
        <w:pStyle w:val="9"/>
        <w:ind w:firstLine="600" w:firstLineChars="200"/>
        <w:rPr>
          <w:rFonts w:asciiTheme="minorEastAsia" w:hAnsiTheme="minorEastAsia" w:eastAsiaTheme="minorEastAsia"/>
          <w:sz w:val="30"/>
          <w:szCs w:val="30"/>
        </w:rPr>
      </w:pPr>
    </w:p>
    <w:p>
      <w:pPr>
        <w:pStyle w:val="9"/>
        <w:jc w:val="center"/>
        <w:rPr>
          <w:sz w:val="48"/>
          <w:szCs w:val="48"/>
        </w:rPr>
      </w:pPr>
      <w:r>
        <w:rPr>
          <w:rFonts w:hint="eastAsia"/>
          <w:sz w:val="48"/>
          <w:szCs w:val="48"/>
        </w:rPr>
        <w:t>第四部分</w:t>
      </w:r>
    </w:p>
    <w:p>
      <w:pPr>
        <w:jc w:val="center"/>
        <w:rPr>
          <w:rFonts w:ascii="黑体" w:eastAsia="黑体" w:cs="黑体"/>
          <w:color w:val="000000"/>
          <w:kern w:val="0"/>
          <w:sz w:val="48"/>
          <w:szCs w:val="48"/>
        </w:rPr>
      </w:pPr>
      <w:r>
        <w:rPr>
          <w:rFonts w:hint="eastAsia" w:ascii="黑体" w:eastAsia="黑体" w:cs="黑体"/>
          <w:color w:val="000000"/>
          <w:kern w:val="0"/>
          <w:sz w:val="48"/>
          <w:szCs w:val="48"/>
        </w:rPr>
        <w:t>名词解释</w:t>
      </w:r>
    </w:p>
    <w:p>
      <w:pPr>
        <w:adjustRightInd w:val="0"/>
        <w:snapToGrid w:val="0"/>
        <w:spacing w:line="600" w:lineRule="exact"/>
        <w:ind w:firstLine="640" w:firstLineChars="200"/>
        <w:jc w:val="left"/>
        <w:rPr>
          <w:rFonts w:ascii="宋体" w:hAnsi="宋体" w:cs="宋体"/>
          <w:sz w:val="32"/>
          <w:szCs w:val="32"/>
        </w:rPr>
      </w:pPr>
      <w:r>
        <w:rPr>
          <w:rFonts w:hint="eastAsia" w:ascii="宋体" w:hAnsi="宋体" w:cs="黑体"/>
          <w:color w:val="000000"/>
          <w:sz w:val="32"/>
          <w:szCs w:val="32"/>
        </w:rPr>
        <w:t>一、财政拨款收入</w:t>
      </w:r>
      <w:r>
        <w:rPr>
          <w:rFonts w:hint="eastAsia" w:ascii="宋体" w:hAnsi="宋体" w:cs="宋体"/>
          <w:color w:val="000000"/>
          <w:sz w:val="32"/>
          <w:szCs w:val="32"/>
        </w:rPr>
        <w:t>：指本级财政当年拨付的资金。</w:t>
      </w:r>
    </w:p>
    <w:p>
      <w:pPr>
        <w:adjustRightInd w:val="0"/>
        <w:snapToGrid w:val="0"/>
        <w:spacing w:line="600" w:lineRule="exact"/>
        <w:ind w:firstLine="640" w:firstLineChars="200"/>
        <w:jc w:val="left"/>
        <w:rPr>
          <w:rFonts w:ascii="宋体" w:hAnsi="宋体" w:cs="宋体"/>
          <w:sz w:val="32"/>
          <w:szCs w:val="32"/>
        </w:rPr>
      </w:pPr>
      <w:r>
        <w:rPr>
          <w:rFonts w:hint="eastAsia" w:ascii="宋体" w:hAnsi="宋体" w:cs="宋体"/>
          <w:color w:val="000000"/>
          <w:sz w:val="32"/>
          <w:szCs w:val="32"/>
        </w:rPr>
        <w:t>二、其他收入：</w:t>
      </w:r>
      <w:r>
        <w:rPr>
          <w:rFonts w:hint="eastAsia" w:ascii="宋体" w:hAnsi="宋体" w:cs="宋体"/>
          <w:sz w:val="32"/>
          <w:szCs w:val="32"/>
        </w:rPr>
        <w:t>指除“财政拨款收入”、“事业收入”、“经营收入”等以外的收入。主要是本级横向拨款、非本级拨款、利息收入等。</w:t>
      </w:r>
    </w:p>
    <w:p>
      <w:pPr>
        <w:adjustRightInd w:val="0"/>
        <w:snapToGrid w:val="0"/>
        <w:spacing w:line="600" w:lineRule="exact"/>
        <w:ind w:firstLine="640" w:firstLineChars="200"/>
        <w:jc w:val="left"/>
        <w:rPr>
          <w:rFonts w:ascii="宋体" w:hAnsi="宋体" w:cs="宋体"/>
          <w:sz w:val="32"/>
          <w:szCs w:val="32"/>
        </w:rPr>
      </w:pPr>
      <w:r>
        <w:rPr>
          <w:rFonts w:hint="eastAsia" w:ascii="宋体" w:hAnsi="宋体" w:cs="宋体"/>
          <w:color w:val="000000"/>
          <w:sz w:val="32"/>
          <w:szCs w:val="32"/>
        </w:rPr>
        <w:t>三、年初结转和结余：</w:t>
      </w:r>
      <w:r>
        <w:rPr>
          <w:rFonts w:hint="eastAsia" w:ascii="宋体" w:hAnsi="宋体" w:cs="宋体"/>
          <w:sz w:val="32"/>
          <w:szCs w:val="32"/>
        </w:rPr>
        <w:t xml:space="preserve">指以前年度尚未完成、结转到本年按有关规定继续使用的资金。 </w:t>
      </w:r>
    </w:p>
    <w:p>
      <w:pPr>
        <w:adjustRightInd w:val="0"/>
        <w:snapToGrid w:val="0"/>
        <w:spacing w:line="600" w:lineRule="exact"/>
        <w:ind w:firstLine="640" w:firstLineChars="200"/>
        <w:jc w:val="left"/>
        <w:rPr>
          <w:rFonts w:ascii="宋体" w:hAnsi="宋体" w:cs="宋体"/>
          <w:sz w:val="32"/>
          <w:szCs w:val="32"/>
        </w:rPr>
      </w:pPr>
      <w:r>
        <w:rPr>
          <w:rFonts w:hint="eastAsia" w:ascii="宋体" w:hAnsi="宋体" w:cs="宋体"/>
          <w:color w:val="000000"/>
          <w:sz w:val="32"/>
          <w:szCs w:val="32"/>
        </w:rPr>
        <w:t>四、年末结转和结余：</w:t>
      </w:r>
      <w:r>
        <w:rPr>
          <w:rFonts w:hint="eastAsia" w:ascii="宋体" w:hAnsi="宋体" w:cs="宋体"/>
          <w:sz w:val="32"/>
          <w:szCs w:val="32"/>
        </w:rPr>
        <w:t xml:space="preserve">指本年度或以前年度预算安排、因客观条件发生变化无法按原计划实施，需要延迟到以后年度按有关规定继续使用的资金。 </w:t>
      </w:r>
    </w:p>
    <w:p>
      <w:pPr>
        <w:adjustRightInd w:val="0"/>
        <w:snapToGrid w:val="0"/>
        <w:spacing w:line="600" w:lineRule="exact"/>
        <w:ind w:firstLine="640" w:firstLineChars="200"/>
        <w:jc w:val="left"/>
        <w:rPr>
          <w:rFonts w:ascii="宋体" w:hAnsi="宋体" w:cs="宋体"/>
          <w:sz w:val="32"/>
          <w:szCs w:val="32"/>
        </w:rPr>
      </w:pPr>
      <w:r>
        <w:rPr>
          <w:rFonts w:hint="eastAsia" w:ascii="宋体" w:hAnsi="宋体" w:cs="宋体"/>
          <w:color w:val="000000"/>
          <w:sz w:val="32"/>
          <w:szCs w:val="32"/>
        </w:rPr>
        <w:t>五、基本支出：</w:t>
      </w:r>
      <w:r>
        <w:rPr>
          <w:rFonts w:hint="eastAsia" w:ascii="宋体" w:hAnsi="宋体" w:cs="宋体"/>
          <w:sz w:val="32"/>
          <w:szCs w:val="32"/>
        </w:rPr>
        <w:t xml:space="preserve">指为保障机构正常运转、完成日常工作任务而发生的人员支出和公用支出。 </w:t>
      </w:r>
    </w:p>
    <w:p>
      <w:pPr>
        <w:adjustRightInd w:val="0"/>
        <w:snapToGrid w:val="0"/>
        <w:spacing w:line="600" w:lineRule="exact"/>
        <w:ind w:firstLine="640" w:firstLineChars="200"/>
        <w:jc w:val="left"/>
        <w:rPr>
          <w:rFonts w:ascii="宋体" w:hAnsi="宋体" w:cs="宋体"/>
          <w:sz w:val="32"/>
          <w:szCs w:val="32"/>
        </w:rPr>
      </w:pPr>
      <w:r>
        <w:rPr>
          <w:rFonts w:hint="eastAsia" w:ascii="宋体" w:hAnsi="宋体" w:cs="宋体"/>
          <w:color w:val="000000"/>
          <w:sz w:val="32"/>
          <w:szCs w:val="32"/>
        </w:rPr>
        <w:t>六、项目支出：</w:t>
      </w:r>
      <w:r>
        <w:rPr>
          <w:rFonts w:hint="eastAsia" w:ascii="宋体" w:hAnsi="宋体" w:cs="宋体"/>
          <w:sz w:val="32"/>
          <w:szCs w:val="32"/>
        </w:rPr>
        <w:t xml:space="preserve">指在基本支出之外为完成特定行政任务和事业发展目标所发生的支出。 </w:t>
      </w:r>
    </w:p>
    <w:p>
      <w:pPr>
        <w:adjustRightInd w:val="0"/>
        <w:snapToGrid w:val="0"/>
        <w:spacing w:line="600" w:lineRule="exact"/>
        <w:ind w:firstLine="640" w:firstLineChars="200"/>
        <w:jc w:val="left"/>
        <w:rPr>
          <w:rFonts w:ascii="宋体" w:hAnsi="宋体" w:cs="宋体"/>
          <w:sz w:val="32"/>
          <w:szCs w:val="32"/>
        </w:rPr>
      </w:pPr>
      <w:r>
        <w:rPr>
          <w:rFonts w:hint="eastAsia" w:ascii="宋体" w:hAnsi="宋体" w:cs="宋体"/>
          <w:color w:val="000000"/>
          <w:sz w:val="32"/>
          <w:szCs w:val="32"/>
        </w:rPr>
        <w:t>七、“三公”经费：</w:t>
      </w:r>
      <w:r>
        <w:rPr>
          <w:rFonts w:hint="eastAsia" w:ascii="宋体" w:hAnsi="宋体" w:cs="宋体"/>
          <w:sz w:val="32"/>
          <w:szCs w:val="32"/>
        </w:rPr>
        <w:t xml:space="preserve">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cs="黑体" w:asciiTheme="minorEastAsia" w:hAnsiTheme="minorEastAsia"/>
          <w:color w:val="000000"/>
          <w:kern w:val="0"/>
          <w:sz w:val="32"/>
          <w:szCs w:val="32"/>
        </w:rPr>
      </w:pPr>
      <w:r>
        <w:rPr>
          <w:rFonts w:hint="eastAsia" w:ascii="宋体" w:hAnsi="宋体" w:cs="宋体"/>
          <w:color w:val="000000"/>
          <w:sz w:val="32"/>
          <w:szCs w:val="32"/>
        </w:rPr>
        <w:t>八、机关运行经费：</w:t>
      </w:r>
      <w:r>
        <w:rPr>
          <w:rFonts w:hint="eastAsia" w:ascii="宋体" w:hAnsi="宋体"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它经费。</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rPr>
          <w:rFonts w:asciiTheme="minorEastAsia" w:hAnsiTheme="minorEastAsia"/>
          <w:sz w:val="30"/>
          <w:szCs w:val="30"/>
        </w:rPr>
      </w:pPr>
      <w:r>
        <w:rPr>
          <w:rFonts w:hint="eastAsia" w:asciiTheme="minorEastAsia" w:hAnsiTheme="minorEastAsia"/>
          <w:sz w:val="30"/>
          <w:szCs w:val="30"/>
        </w:rPr>
        <w:t>（一）主抓五好园区建设</w:t>
      </w:r>
    </w:p>
    <w:p>
      <w:pPr>
        <w:rPr>
          <w:rFonts w:asciiTheme="minorEastAsia" w:hAnsiTheme="minorEastAsia"/>
          <w:sz w:val="30"/>
          <w:szCs w:val="30"/>
        </w:rPr>
      </w:pPr>
      <w:r>
        <w:rPr>
          <w:rFonts w:hint="eastAsia" w:asciiTheme="minorEastAsia" w:hAnsiTheme="minorEastAsia"/>
          <w:sz w:val="30"/>
          <w:szCs w:val="30"/>
        </w:rPr>
        <w:t>1、新开工新投产任务如期完成。2021年1-12月，全区新开工工业项目32个，占年度任务（30个）的107%，新投产工业项目27个，占年度任务（25个）的108%。</w:t>
      </w:r>
    </w:p>
    <w:p>
      <w:pPr>
        <w:rPr>
          <w:rFonts w:asciiTheme="minorEastAsia" w:hAnsiTheme="minorEastAsia"/>
          <w:sz w:val="30"/>
          <w:szCs w:val="30"/>
        </w:rPr>
      </w:pPr>
      <w:r>
        <w:rPr>
          <w:rFonts w:hint="eastAsia" w:asciiTheme="minorEastAsia" w:hAnsiTheme="minorEastAsia"/>
          <w:sz w:val="30"/>
          <w:szCs w:val="30"/>
        </w:rPr>
        <w:t>2、部分重点产业项目推进较快。碳谷项目3月份启动征地拆迁和土地报批工作，目前已完成550亩土地的征地拆迁和土地挂牌工作，项目方已进场进行临建，剩余183亩和319亩土地征拆和报批工作有序进行中；信维5G产业园一期项目用地范围内拆迁工作已完成，土地已摘牌，正在进行桩基础及承台建设；科力远项目场平已完成90%，土地已挂牌；长天新能源项目目前正在进行主体建设，部分配套用房主体已封顶；三一1号和2号厂房已完成灯塔工厂建设，车桥项目12月份产品下线；益橡机项目，2020年11月份设备进场，今年2月份已实现试投产，5月份已正式投产，8月份已完成整体搬迁。积极推动传化物流项目建设进度，多次组织和参与协调会议，解决拆迁、水电气配套和道路配套等问题，目前传化一期主体已经投产，已有中国邮政等企业入驻。</w:t>
      </w:r>
    </w:p>
    <w:p>
      <w:pPr>
        <w:rPr>
          <w:rFonts w:asciiTheme="minorEastAsia" w:hAnsiTheme="minorEastAsia"/>
          <w:sz w:val="30"/>
          <w:szCs w:val="30"/>
        </w:rPr>
      </w:pPr>
      <w:r>
        <w:rPr>
          <w:rFonts w:hint="eastAsia" w:asciiTheme="minorEastAsia" w:hAnsiTheme="minorEastAsia"/>
          <w:sz w:val="30"/>
          <w:szCs w:val="30"/>
        </w:rPr>
        <w:t>3、产业链延伸取得成效。围绕主特产业，助推项目开工投产，提升产业链完整度。围绕以三一为龙头的工程装备及机械制造产业链，助推华工智能和德雄机械等配套产业项目尽快开工投产，2021年华工智能项目已建成投产，德雄机械项目正在进行临建施工。围绕以信维声学等企业为龙头的电子元器件及智能终端产业链，积极助推长天新能源、泰禾新能源等企业开工投产，2021年泰禾新能源已开工并投产，长天新能源正在进行厂房主体建设。围绕以信维MLCC项目为主的5G通信装备产业链，扎实开展艾迪奥等项目开工前期准备工作。围绕以金博股份为主的碳基材料产业链，加快推进金硅、百茂、长益等项目开工投产，目前金硅项目已实现投产，正在逐步扩产，百茂正在进行场平和长益正在有序推进拆迁工作。</w:t>
      </w:r>
    </w:p>
    <w:p>
      <w:pPr>
        <w:rPr>
          <w:rFonts w:asciiTheme="minorEastAsia" w:hAnsiTheme="minorEastAsia"/>
          <w:sz w:val="30"/>
          <w:szCs w:val="30"/>
        </w:rPr>
      </w:pPr>
      <w:r>
        <w:rPr>
          <w:rFonts w:hint="eastAsia" w:asciiTheme="minorEastAsia" w:hAnsiTheme="minorEastAsia"/>
          <w:sz w:val="30"/>
          <w:szCs w:val="30"/>
        </w:rPr>
        <w:t>（二）企业服务与帮扶情况</w:t>
      </w:r>
    </w:p>
    <w:p>
      <w:pPr>
        <w:rPr>
          <w:rFonts w:asciiTheme="minorEastAsia" w:hAnsiTheme="minorEastAsia"/>
          <w:sz w:val="30"/>
          <w:szCs w:val="30"/>
        </w:rPr>
      </w:pPr>
      <w:r>
        <w:rPr>
          <w:rFonts w:hint="eastAsia" w:asciiTheme="minorEastAsia" w:hAnsiTheme="minorEastAsia"/>
          <w:sz w:val="30"/>
          <w:szCs w:val="30"/>
        </w:rPr>
        <w:t>1、积极摸排企业用工需求，搭建校企合作交流渠道。7月份组织园区十余家重点企业与益阳职业技术学院高新区产业学院开展了校企合作座谈会，目前园区已有信维声学、伟源科技、艾迪奥、伦丰电子与产业学院达成合作共识，弗兰德、益橡机等有合作意向。春节前提前谋划，收集企业年后用工需求信息，联合区人社分局于益阳市各大电子平台发布，为企业年后复工生产、招工用工保驾护航。</w:t>
      </w:r>
    </w:p>
    <w:p>
      <w:pPr>
        <w:rPr>
          <w:rFonts w:asciiTheme="minorEastAsia" w:hAnsiTheme="minorEastAsia"/>
          <w:sz w:val="30"/>
          <w:szCs w:val="30"/>
        </w:rPr>
      </w:pPr>
      <w:r>
        <w:rPr>
          <w:rFonts w:hint="eastAsia" w:asciiTheme="minorEastAsia" w:hAnsiTheme="minorEastAsia"/>
          <w:sz w:val="30"/>
          <w:szCs w:val="30"/>
        </w:rPr>
        <w:t>2、全力协调跟踪服务。全区上下以问题为导向，以构建亲情式服务为目标，让企业安心发展。成立了企业帮扶工作领导小组，制定了《益阳高新区管委会2021年服务企业具体实施方案》，针对项目建设和企业发展中遇到的用工、融资、基础设施等方面的问题，明确牵头部门和责任部门，为企业帮扶各项举措的落地执行保驾护航。开展中秋、国庆双节慰问活动，共走访慰问40余家企业。每季度开展一次服务接待日活动，与企业面对面、零距离沟通，受理并解决企业反映的各类问题。截至目前，我中心通过日常走访、召开企业家座谈会和校企座谈会等方式，收集企业存在的问题310个，通过协调各部门和集团公司，解决问题285个，正在解决的问题25个。</w:t>
      </w:r>
    </w:p>
    <w:p>
      <w:pPr>
        <w:rPr>
          <w:rFonts w:asciiTheme="minorEastAsia" w:hAnsiTheme="minorEastAsia"/>
          <w:sz w:val="30"/>
          <w:szCs w:val="30"/>
        </w:rPr>
      </w:pPr>
      <w:r>
        <w:rPr>
          <w:rFonts w:hint="eastAsia" w:asciiTheme="minorEastAsia" w:hAnsiTheme="minorEastAsia"/>
          <w:sz w:val="30"/>
          <w:szCs w:val="30"/>
        </w:rPr>
        <w:t>（三）水电气配套服务情况</w:t>
      </w:r>
    </w:p>
    <w:p>
      <w:pPr>
        <w:rPr>
          <w:rFonts w:asciiTheme="minorEastAsia" w:hAnsiTheme="minorEastAsia"/>
          <w:sz w:val="30"/>
          <w:szCs w:val="30"/>
        </w:rPr>
      </w:pPr>
      <w:r>
        <w:rPr>
          <w:rFonts w:hint="eastAsia" w:asciiTheme="minorEastAsia" w:hAnsiTheme="minorEastAsia"/>
          <w:sz w:val="30"/>
          <w:szCs w:val="30"/>
        </w:rPr>
        <w:t>1、水、电、气在园区设立了一站式服务窗口受理报装、维修、缴费。优化了程序缩短了时间，自来水报装至送水的时间为6个工作日；电力报装至送电时间高压单电源用和高压单电源用和户分别为22和32个工作日；燃气报装至送气的时间为6个工作日（小微用户）。</w:t>
      </w:r>
    </w:p>
    <w:p>
      <w:pPr>
        <w:rPr>
          <w:rFonts w:asciiTheme="minorEastAsia" w:hAnsiTheme="minorEastAsia"/>
          <w:sz w:val="30"/>
          <w:szCs w:val="30"/>
        </w:rPr>
      </w:pPr>
      <w:r>
        <w:rPr>
          <w:rFonts w:hint="eastAsia" w:asciiTheme="minorEastAsia" w:hAnsiTheme="minorEastAsia"/>
          <w:sz w:val="30"/>
          <w:szCs w:val="30"/>
        </w:rPr>
        <w:t>2、水、电、气、讯配套建设协调</w:t>
      </w:r>
    </w:p>
    <w:p>
      <w:pPr>
        <w:rPr>
          <w:rFonts w:asciiTheme="minorEastAsia" w:hAnsiTheme="minorEastAsia"/>
          <w:sz w:val="30"/>
          <w:szCs w:val="30"/>
        </w:rPr>
      </w:pPr>
      <w:r>
        <w:rPr>
          <w:rFonts w:hint="eastAsia" w:asciiTheme="minorEastAsia" w:hAnsiTheme="minorEastAsia"/>
          <w:sz w:val="30"/>
          <w:szCs w:val="30"/>
        </w:rPr>
        <w:t>协调完成了伦丰电子等8家企业的用电报装；协调完成了湖南吉材硬质材料有限公司等8家企家业的用水报装以及中科宇能自来水加压工程；协调完成了湖南华工智能装备有限公司等5家企业的用气报装；协助集团公司完成杆线及通讯塔迁移项目4个；按招商合同约定完成工业项目和房地产项目水、电、气、讯配套和管线迁移。</w:t>
      </w:r>
    </w:p>
    <w:p>
      <w:pPr>
        <w:rPr>
          <w:rFonts w:asciiTheme="minorEastAsia" w:hAnsiTheme="minorEastAsia"/>
          <w:sz w:val="30"/>
          <w:szCs w:val="30"/>
        </w:rPr>
      </w:pPr>
      <w:r>
        <w:rPr>
          <w:rFonts w:hint="eastAsia" w:asciiTheme="minorEastAsia" w:hAnsiTheme="minorEastAsia"/>
          <w:sz w:val="30"/>
          <w:szCs w:val="30"/>
        </w:rPr>
        <w:t>3、“三型两网”电力项目建设</w:t>
      </w:r>
    </w:p>
    <w:p>
      <w:pPr>
        <w:rPr>
          <w:rFonts w:asciiTheme="minorEastAsia" w:hAnsiTheme="minorEastAsia"/>
          <w:sz w:val="30"/>
          <w:szCs w:val="30"/>
        </w:rPr>
      </w:pPr>
      <w:r>
        <w:rPr>
          <w:rFonts w:hint="eastAsia" w:asciiTheme="minorEastAsia" w:hAnsiTheme="minorEastAsia"/>
          <w:sz w:val="30"/>
          <w:szCs w:val="30"/>
        </w:rPr>
        <w:t>500kV复宁线协调完成了3栋房屋已拆迁，8个塔基的组立已完成；110kV紫龙郡变电站，协调启动了土地报批等工作，施工单位已进场，计划2022年4月底投运；百竹园（益阳南）220kV输变电工程，启动了土地报批和进场施工便道修建工作，计划2022年10月底投运；沧凯秀毛线π入紫龙郡变110kV线路工程，已启动建设；协调完成了500kV复兴变电站周边线路下砍青补偿。</w:t>
      </w:r>
    </w:p>
    <w:p>
      <w:pPr>
        <w:rPr>
          <w:rFonts w:asciiTheme="minorEastAsia" w:hAnsiTheme="minorEastAsia"/>
          <w:sz w:val="30"/>
          <w:szCs w:val="30"/>
        </w:rPr>
      </w:pPr>
      <w:r>
        <w:rPr>
          <w:rFonts w:hint="eastAsia" w:asciiTheme="minorEastAsia" w:hAnsiTheme="minorEastAsia"/>
          <w:sz w:val="30"/>
          <w:szCs w:val="30"/>
        </w:rPr>
        <w:t>（四）全力维护施工环境</w:t>
      </w:r>
    </w:p>
    <w:p>
      <w:pPr>
        <w:rPr>
          <w:rFonts w:asciiTheme="minorEastAsia" w:hAnsiTheme="minorEastAsia"/>
          <w:sz w:val="30"/>
          <w:szCs w:val="30"/>
        </w:rPr>
      </w:pPr>
      <w:r>
        <w:rPr>
          <w:rFonts w:hint="eastAsia" w:asciiTheme="minorEastAsia" w:hAnsiTheme="minorEastAsia"/>
          <w:sz w:val="30"/>
          <w:szCs w:val="30"/>
        </w:rPr>
        <w:t>每月3次不定期的到企业上门服务，配合做好施工环境协调，及时处理项目建设过程中遇到的阻工等问题。全年开展了39次施工环境走访，走访企业89家，收集反映施工环境问题7起，全部及时有效进行协调。包括组织了粤湘大健康员工摔伤协调；参与了山力玉柴施工队与员工工资结算的协调。</w:t>
      </w:r>
    </w:p>
    <w:p>
      <w:pPr>
        <w:ind w:firstLine="640" w:firstLineChars="200"/>
        <w:jc w:val="left"/>
        <w:rPr>
          <w:rFonts w:cs="黑体" w:asciiTheme="minorEastAsia" w:hAnsiTheme="minorEastAsia"/>
          <w:color w:val="000000"/>
          <w:kern w:val="0"/>
          <w:sz w:val="32"/>
          <w:szCs w:val="32"/>
        </w:rPr>
      </w:pPr>
    </w:p>
    <w:sectPr>
      <w:pgSz w:w="16838" w:h="11906" w:orient="landscape"/>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00397D"/>
    <w:multiLevelType w:val="singleLevel"/>
    <w:tmpl w:val="6100397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4506F9"/>
    <w:rsid w:val="00006572"/>
    <w:rsid w:val="0002229B"/>
    <w:rsid w:val="000224DA"/>
    <w:rsid w:val="000273BD"/>
    <w:rsid w:val="000415B7"/>
    <w:rsid w:val="00041E3F"/>
    <w:rsid w:val="00055DAA"/>
    <w:rsid w:val="00061F7B"/>
    <w:rsid w:val="000658A3"/>
    <w:rsid w:val="00074155"/>
    <w:rsid w:val="0008162B"/>
    <w:rsid w:val="000873EF"/>
    <w:rsid w:val="000A3AE0"/>
    <w:rsid w:val="000A3F69"/>
    <w:rsid w:val="000A63A5"/>
    <w:rsid w:val="000D5064"/>
    <w:rsid w:val="000D54FE"/>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C00BE"/>
    <w:rsid w:val="002D6779"/>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0E49"/>
    <w:rsid w:val="00544866"/>
    <w:rsid w:val="005767CC"/>
    <w:rsid w:val="00590D9F"/>
    <w:rsid w:val="00592FE4"/>
    <w:rsid w:val="00595D26"/>
    <w:rsid w:val="00596EB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B0BDB"/>
    <w:rsid w:val="007C4539"/>
    <w:rsid w:val="007F3657"/>
    <w:rsid w:val="00812ED5"/>
    <w:rsid w:val="008277D9"/>
    <w:rsid w:val="00830A8B"/>
    <w:rsid w:val="0084478C"/>
    <w:rsid w:val="0086638C"/>
    <w:rsid w:val="008A3E8D"/>
    <w:rsid w:val="009237C4"/>
    <w:rsid w:val="009260AE"/>
    <w:rsid w:val="00944C48"/>
    <w:rsid w:val="00950252"/>
    <w:rsid w:val="00967F5D"/>
    <w:rsid w:val="009A0F95"/>
    <w:rsid w:val="009B3ADF"/>
    <w:rsid w:val="009C3B52"/>
    <w:rsid w:val="009E6817"/>
    <w:rsid w:val="009E6E9A"/>
    <w:rsid w:val="00A01D2B"/>
    <w:rsid w:val="00A42218"/>
    <w:rsid w:val="00A67CE7"/>
    <w:rsid w:val="00A70249"/>
    <w:rsid w:val="00A70B02"/>
    <w:rsid w:val="00A71D9F"/>
    <w:rsid w:val="00A82677"/>
    <w:rsid w:val="00A92E9F"/>
    <w:rsid w:val="00AF0EFD"/>
    <w:rsid w:val="00B33BEA"/>
    <w:rsid w:val="00B51E20"/>
    <w:rsid w:val="00B57C9F"/>
    <w:rsid w:val="00B63572"/>
    <w:rsid w:val="00B845B3"/>
    <w:rsid w:val="00B85D8B"/>
    <w:rsid w:val="00BB4A40"/>
    <w:rsid w:val="00BD6C3E"/>
    <w:rsid w:val="00BE3674"/>
    <w:rsid w:val="00C10681"/>
    <w:rsid w:val="00C3049A"/>
    <w:rsid w:val="00C31B1E"/>
    <w:rsid w:val="00C6339C"/>
    <w:rsid w:val="00C77645"/>
    <w:rsid w:val="00C907EA"/>
    <w:rsid w:val="00CB065C"/>
    <w:rsid w:val="00CD3FD4"/>
    <w:rsid w:val="00CE04C3"/>
    <w:rsid w:val="00CE76A0"/>
    <w:rsid w:val="00CF78F4"/>
    <w:rsid w:val="00D0256E"/>
    <w:rsid w:val="00D12FE7"/>
    <w:rsid w:val="00D148C6"/>
    <w:rsid w:val="00D17A8A"/>
    <w:rsid w:val="00D415BA"/>
    <w:rsid w:val="00D63780"/>
    <w:rsid w:val="00D644EE"/>
    <w:rsid w:val="00D75489"/>
    <w:rsid w:val="00DB70BB"/>
    <w:rsid w:val="00DD06FF"/>
    <w:rsid w:val="00DD5FE9"/>
    <w:rsid w:val="00E00C7A"/>
    <w:rsid w:val="00E209CF"/>
    <w:rsid w:val="00E37D6C"/>
    <w:rsid w:val="00E5191C"/>
    <w:rsid w:val="00E55B68"/>
    <w:rsid w:val="00E67BE6"/>
    <w:rsid w:val="00E8683C"/>
    <w:rsid w:val="00EA2B72"/>
    <w:rsid w:val="00F00A9D"/>
    <w:rsid w:val="00F74360"/>
    <w:rsid w:val="00FB462F"/>
    <w:rsid w:val="00FB6C33"/>
    <w:rsid w:val="00FD63C5"/>
    <w:rsid w:val="00FE16FA"/>
    <w:rsid w:val="00FE328A"/>
    <w:rsid w:val="00FE6269"/>
    <w:rsid w:val="00FF5CD6"/>
    <w:rsid w:val="01151BD5"/>
    <w:rsid w:val="10B9383C"/>
    <w:rsid w:val="20CB1843"/>
    <w:rsid w:val="26AD4E22"/>
    <w:rsid w:val="2DAE4841"/>
    <w:rsid w:val="35A44FCA"/>
    <w:rsid w:val="35DC779C"/>
    <w:rsid w:val="37EB7F46"/>
    <w:rsid w:val="38F259BD"/>
    <w:rsid w:val="3BEA6679"/>
    <w:rsid w:val="4616052D"/>
    <w:rsid w:val="469212D9"/>
    <w:rsid w:val="5C0F3EE2"/>
    <w:rsid w:val="614E7A33"/>
    <w:rsid w:val="6B5D4601"/>
    <w:rsid w:val="76F66CF7"/>
    <w:rsid w:val="7B7B6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5AD5-30A6-4786-94B9-1A66E64D5C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10273</Words>
  <Characters>12677</Characters>
  <Lines>111</Lines>
  <Paragraphs>31</Paragraphs>
  <TotalTime>2</TotalTime>
  <ScaleCrop>false</ScaleCrop>
  <LinksUpToDate>false</LinksUpToDate>
  <CharactersWithSpaces>13512</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sky丶歆</cp:lastModifiedBy>
  <cp:lastPrinted>2023-10-06T03:26:00Z</cp:lastPrinted>
  <dcterms:modified xsi:type="dcterms:W3CDTF">2023-10-07T01:49:28Z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1585544739B24717B7A1D6BD580DE4D1_13</vt:lpwstr>
  </property>
</Properties>
</file>