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84"/>
          <w:szCs w:val="84"/>
        </w:rPr>
      </w:pPr>
      <w:bookmarkStart w:id="2" w:name="_GoBack"/>
      <w:bookmarkEnd w:id="2"/>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1</w:t>
      </w:r>
      <w:r>
        <w:rPr>
          <w:rFonts w:hint="eastAsia" w:ascii="方正小标宋简体" w:hAnsi="方正小标宋简体" w:eastAsia="方正小标宋简体" w:cs="方正小标宋简体"/>
          <w:sz w:val="48"/>
          <w:szCs w:val="48"/>
        </w:rPr>
        <w:t>年度</w:t>
      </w:r>
    </w:p>
    <w:p>
      <w:pPr>
        <w:pStyle w:val="15"/>
        <w:jc w:val="center"/>
        <w:rPr>
          <w:rFonts w:hint="eastAsia"/>
          <w:sz w:val="32"/>
          <w:szCs w:val="32"/>
        </w:rPr>
      </w:pPr>
      <w:r>
        <w:rPr>
          <w:rFonts w:hint="eastAsia" w:ascii="方正小标宋简体" w:hAnsi="方正小标宋简体" w:eastAsia="方正小标宋简体" w:cs="方正小标宋简体"/>
          <w:sz w:val="48"/>
          <w:szCs w:val="48"/>
        </w:rPr>
        <w:t>益阳高新区</w:t>
      </w:r>
      <w:r>
        <w:rPr>
          <w:rFonts w:hint="eastAsia" w:ascii="方正小标宋简体" w:hAnsi="方正小标宋简体" w:eastAsia="方正小标宋简体" w:cs="方正小标宋简体"/>
          <w:sz w:val="48"/>
          <w:szCs w:val="48"/>
          <w:lang w:val="en-US" w:eastAsia="zh-CN"/>
        </w:rPr>
        <w:t>监察工作委员会</w:t>
      </w:r>
      <w:r>
        <w:rPr>
          <w:rFonts w:hint="eastAsia" w:ascii="方正小标宋简体" w:hAnsi="方正小标宋简体" w:eastAsia="方正小标宋简体" w:cs="方正小标宋简体"/>
          <w:sz w:val="48"/>
          <w:szCs w:val="48"/>
        </w:rPr>
        <w:t>决算公开说明</w:t>
      </w:r>
    </w:p>
    <w:p>
      <w:pPr>
        <w:pStyle w:val="15"/>
        <w:spacing w:line="500" w:lineRule="exact"/>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ascii="仿宋_GB2312" w:hAnsi="仿宋_GB2312" w:cs="仿宋_GB2312"/>
          <w:b/>
          <w:sz w:val="28"/>
          <w:szCs w:val="28"/>
        </w:rPr>
      </w:pPr>
      <w:r>
        <w:rPr>
          <w:rFonts w:hint="eastAsia"/>
          <w:b/>
          <w:sz w:val="28"/>
          <w:szCs w:val="28"/>
        </w:rPr>
        <w:t>第一部分XX单位概况</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5"/>
        <w:spacing w:line="500" w:lineRule="exact"/>
        <w:ind w:firstLine="700" w:firstLineChars="250"/>
        <w:rPr>
          <w:rFonts w:hint="default"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val="en-US" w:eastAsia="zh-CN"/>
        </w:rPr>
        <w:t>及决算单位构成</w:t>
      </w:r>
    </w:p>
    <w:p>
      <w:pPr>
        <w:pStyle w:val="15"/>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5"/>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5"/>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rPr>
          <w:sz w:val="72"/>
          <w:szCs w:val="72"/>
        </w:rPr>
      </w:pPr>
    </w:p>
    <w:p>
      <w:pPr>
        <w:pStyle w:val="15"/>
        <w:jc w:val="center"/>
        <w:rPr>
          <w:rFonts w:hint="eastAsia"/>
          <w:sz w:val="84"/>
          <w:szCs w:val="84"/>
        </w:rPr>
      </w:pPr>
    </w:p>
    <w:p>
      <w:pPr>
        <w:pStyle w:val="15"/>
        <w:jc w:val="center"/>
        <w:rPr>
          <w:rFonts w:hint="eastAsia"/>
          <w:sz w:val="84"/>
          <w:szCs w:val="84"/>
        </w:rPr>
        <w:sectPr>
          <w:footerReference r:id="rId3" w:type="default"/>
          <w:pgSz w:w="11906" w:h="16838"/>
          <w:pgMar w:top="720" w:right="720" w:bottom="720" w:left="720" w:header="851" w:footer="992" w:gutter="0"/>
          <w:pgNumType w:fmt="numberInDash"/>
          <w:cols w:space="720" w:num="1"/>
          <w:docGrid w:type="linesAndChars" w:linePitch="312" w:charSpace="0"/>
        </w:sectPr>
      </w:pPr>
    </w:p>
    <w:p>
      <w:pPr>
        <w:jc w:val="center"/>
        <w:rPr>
          <w:sz w:val="72"/>
          <w:szCs w:val="72"/>
        </w:rPr>
      </w:pPr>
    </w:p>
    <w:p>
      <w:pPr>
        <w:jc w:val="center"/>
        <w:rPr>
          <w:sz w:val="72"/>
          <w:szCs w:val="72"/>
        </w:rPr>
      </w:pPr>
    </w:p>
    <w:p>
      <w:pPr>
        <w:rPr>
          <w:sz w:val="72"/>
          <w:szCs w:val="72"/>
        </w:rPr>
      </w:pPr>
    </w:p>
    <w:p>
      <w:pPr>
        <w:pStyle w:val="15"/>
        <w:jc w:val="center"/>
        <w:rPr>
          <w:sz w:val="84"/>
          <w:szCs w:val="84"/>
        </w:rPr>
      </w:pPr>
      <w:r>
        <w:rPr>
          <w:rFonts w:hint="eastAsia"/>
          <w:sz w:val="84"/>
          <w:szCs w:val="84"/>
        </w:rPr>
        <w:t>第一部分</w:t>
      </w:r>
      <w:r>
        <w:rPr>
          <w:sz w:val="84"/>
          <w:szCs w:val="84"/>
        </w:rPr>
        <w:t xml:space="preserve"> </w:t>
      </w:r>
    </w:p>
    <w:p>
      <w:pPr>
        <w:pStyle w:val="15"/>
        <w:jc w:val="center"/>
        <w:rPr>
          <w:sz w:val="84"/>
          <w:szCs w:val="84"/>
        </w:rPr>
      </w:pPr>
    </w:p>
    <w:p>
      <w:pPr>
        <w:pStyle w:val="15"/>
        <w:jc w:val="center"/>
        <w:rPr>
          <w:sz w:val="84"/>
          <w:szCs w:val="84"/>
        </w:rPr>
      </w:pPr>
      <w:r>
        <w:rPr>
          <w:rFonts w:hint="eastAsia"/>
          <w:sz w:val="84"/>
          <w:szCs w:val="84"/>
          <w:lang w:eastAsia="zh-CN"/>
        </w:rPr>
        <w:t>监察工作委员会</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rPr>
          <w:sz w:val="72"/>
          <w:szCs w:val="72"/>
        </w:rPr>
      </w:pPr>
    </w:p>
    <w:p>
      <w:pPr>
        <w:pStyle w:val="2"/>
      </w:pPr>
    </w:p>
    <w:p>
      <w:pPr>
        <w:jc w:val="center"/>
        <w:rPr>
          <w:sz w:val="72"/>
          <w:szCs w:val="72"/>
        </w:rPr>
      </w:pPr>
    </w:p>
    <w:p>
      <w:pPr>
        <w:pStyle w:val="16"/>
        <w:ind w:left="720" w:firstLine="0" w:firstLineChars="0"/>
        <w:jc w:val="left"/>
        <w:rPr>
          <w:rFonts w:ascii="黑体" w:hAnsi="黑体" w:eastAsia="黑体"/>
          <w:sz w:val="32"/>
          <w:szCs w:val="32"/>
        </w:rPr>
      </w:pPr>
    </w:p>
    <w:p>
      <w:pPr>
        <w:pStyle w:val="16"/>
        <w:ind w:left="720" w:firstLine="0" w:firstLineChars="0"/>
        <w:jc w:val="left"/>
        <w:rPr>
          <w:rFonts w:ascii="黑体" w:hAnsi="黑体" w:eastAsia="黑体"/>
          <w:sz w:val="32"/>
          <w:szCs w:val="32"/>
        </w:rPr>
      </w:pPr>
    </w:p>
    <w:p>
      <w:pPr>
        <w:pStyle w:val="16"/>
        <w:ind w:left="720" w:firstLine="0" w:firstLineChars="0"/>
        <w:jc w:val="left"/>
        <w:rPr>
          <w:rFonts w:ascii="黑体" w:hAnsi="黑体" w:eastAsia="黑体"/>
          <w:sz w:val="32"/>
          <w:szCs w:val="32"/>
        </w:rPr>
      </w:pPr>
    </w:p>
    <w:p>
      <w:pPr>
        <w:pStyle w:val="16"/>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（一）负责党风廉政建设和反腐败工作；</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（二）维护党的章程和其他党内法规，监督检查党的路线、方针、政策和各级党（工）委决议、决定在区内的执行情况；</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（三）贯彻落实中央、省、市关于加强党风廉政建设和行政监察工作的决定；</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（四）制定反腐倡廉教育规划和关于维护党纪党规的决定，做好纪检监察工作方针、政策的宣传工作，对党员和国家工作人员进行遵纪守法、廉政勤政的教育；</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（五）受理个人或单位对监察对象违纪行为的检举控告；</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（六）开展案件调查；</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（七）负责行政效能监察工作；</w:t>
      </w:r>
      <w:r>
        <w:rPr>
          <w:rFonts w:ascii="宋体" w:hAnsi="宋体"/>
          <w:bCs/>
          <w:kern w:val="0"/>
          <w:sz w:val="32"/>
          <w:szCs w:val="32"/>
        </w:rPr>
        <w:t xml:space="preserve"> </w:t>
      </w:r>
    </w:p>
    <w:p>
      <w:pPr>
        <w:widowControl/>
        <w:spacing w:line="600" w:lineRule="exact"/>
        <w:ind w:firstLine="960" w:firstLineChars="300"/>
        <w:rPr>
          <w:rFonts w:ascii="宋体" w:hAnsi="宋体"/>
          <w:bCs/>
          <w:kern w:val="0"/>
          <w:sz w:val="32"/>
          <w:szCs w:val="32"/>
        </w:rPr>
      </w:pPr>
      <w:r>
        <w:rPr>
          <w:rFonts w:hint="eastAsia" w:ascii="宋体" w:hAnsi="宋体"/>
          <w:bCs/>
          <w:kern w:val="0"/>
          <w:sz w:val="32"/>
          <w:szCs w:val="32"/>
        </w:rPr>
        <w:t>（八）协助工委落实党风廉政建设“主体责任”，加强监督检查，严格执纪问责。</w:t>
      </w:r>
      <w:r>
        <w:rPr>
          <w:rFonts w:ascii="宋体" w:hAnsi="宋体"/>
          <w:bCs/>
          <w:kern w:val="0"/>
          <w:sz w:val="32"/>
          <w:szCs w:val="32"/>
        </w:rPr>
        <w:t xml:space="preserve">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r>
        <w:rPr>
          <w:rFonts w:hint="eastAsia" w:asciiTheme="minorEastAsia" w:hAnsiTheme="minorEastAsia"/>
          <w:bCs/>
          <w:kern w:val="0"/>
          <w:sz w:val="32"/>
          <w:szCs w:val="32"/>
        </w:rPr>
        <w:t>（一）内设机构设置</w:t>
      </w:r>
      <w:r>
        <w:rPr>
          <w:rFonts w:hint="eastAsia" w:ascii="宋体" w:hAnsi="宋体"/>
          <w:bCs/>
          <w:kern w:val="0"/>
          <w:sz w:val="32"/>
          <w:szCs w:val="32"/>
        </w:rPr>
        <w:t>本部门为一级预算单位。部门下设三个科室，分别是综合科、纪检监察科、案件审理科。</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监察工作委员会</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监察工作委员会</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hint="eastAsia" w:ascii="黑体" w:hAnsi="黑体" w:eastAsia="黑体"/>
          <w:sz w:val="28"/>
          <w:szCs w:val="28"/>
          <w:lang w:eastAsia="zh-CN"/>
        </w:rPr>
        <w:sectPr>
          <w:pgSz w:w="16838" w:h="11906" w:orient="landscape"/>
          <w:pgMar w:top="1797" w:right="1440" w:bottom="1797" w:left="1440" w:header="851" w:footer="992" w:gutter="0"/>
          <w:cols w:space="425" w:num="1"/>
          <w:docGrid w:type="linesAndChars" w:linePitch="312" w:charSpace="0"/>
        </w:sectPr>
      </w:pPr>
      <w:r>
        <w:rPr>
          <w:rFonts w:hint="eastAsia" w:ascii="黑体" w:hAnsi="黑体" w:eastAsia="黑体"/>
          <w:sz w:val="28"/>
          <w:szCs w:val="28"/>
          <w:lang w:eastAsia="zh-CN"/>
        </w:rPr>
        <w:drawing>
          <wp:inline distT="0" distB="0" distL="114300" distR="114300">
            <wp:extent cx="7780020" cy="5274310"/>
            <wp:effectExtent l="0" t="0" r="190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7780020" cy="5274310"/>
                    </a:xfrm>
                    <a:prstGeom prst="rect">
                      <a:avLst/>
                    </a:prstGeom>
                    <a:noFill/>
                    <a:ln>
                      <a:noFill/>
                    </a:ln>
                  </pic:spPr>
                </pic:pic>
              </a:graphicData>
            </a:graphic>
          </wp:inline>
        </w:drawing>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drawing>
          <wp:inline distT="0" distB="0" distL="114300" distR="114300">
            <wp:extent cx="9776460" cy="5499735"/>
            <wp:effectExtent l="0" t="0" r="5715" b="571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9776460" cy="5499735"/>
                    </a:xfrm>
                    <a:prstGeom prst="rect">
                      <a:avLst/>
                    </a:prstGeom>
                    <a:noFill/>
                    <a:ln>
                      <a:noFill/>
                    </a:ln>
                  </pic:spPr>
                </pic:pic>
              </a:graphicData>
            </a:graphic>
          </wp:inline>
        </w:drawing>
      </w: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ind w:left="93"/>
        <w:jc w:val="center"/>
        <w:rPr>
          <w:rFonts w:hint="eastAsia" w:ascii="Times New Roman" w:hAnsi="Times New Roman" w:eastAsia="方正小标宋_GBK" w:cs="Times New Roman"/>
          <w:color w:val="000000"/>
          <w:kern w:val="0"/>
          <w:sz w:val="36"/>
          <w:szCs w:val="21"/>
          <w:lang w:eastAsia="zh-CN"/>
        </w:rPr>
      </w:pPr>
      <w:r>
        <w:rPr>
          <w:rFonts w:hint="eastAsia" w:ascii="Times New Roman" w:hAnsi="Times New Roman" w:eastAsia="方正小标宋_GBK" w:cs="Times New Roman"/>
          <w:color w:val="000000"/>
          <w:kern w:val="0"/>
          <w:sz w:val="36"/>
          <w:szCs w:val="21"/>
          <w:lang w:eastAsia="zh-CN"/>
        </w:rPr>
        <w:drawing>
          <wp:inline distT="0" distB="0" distL="114300" distR="114300">
            <wp:extent cx="9776460" cy="5499735"/>
            <wp:effectExtent l="0" t="0" r="5715" b="571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9776460" cy="5499735"/>
                    </a:xfrm>
                    <a:prstGeom prst="rect">
                      <a:avLst/>
                    </a:prstGeom>
                    <a:noFill/>
                    <a:ln>
                      <a:noFill/>
                    </a:ln>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drawing>
          <wp:inline distT="0" distB="0" distL="114300" distR="114300">
            <wp:extent cx="9316085" cy="6638925"/>
            <wp:effectExtent l="0" t="0" r="889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8"/>
                    <a:stretch>
                      <a:fillRect/>
                    </a:stretch>
                  </pic:blipFill>
                  <pic:spPr>
                    <a:xfrm>
                      <a:off x="0" y="0"/>
                      <a:ext cx="9316085" cy="6638925"/>
                    </a:xfrm>
                    <a:prstGeom prst="rect">
                      <a:avLst/>
                    </a:prstGeom>
                    <a:noFill/>
                    <a:ln>
                      <a:noFill/>
                    </a:ln>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drawing>
          <wp:inline distT="0" distB="0" distL="114300" distR="114300">
            <wp:extent cx="9776460" cy="5499735"/>
            <wp:effectExtent l="0" t="0" r="5715" b="571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9"/>
                    <a:stretch>
                      <a:fillRect/>
                    </a:stretch>
                  </pic:blipFill>
                  <pic:spPr>
                    <a:xfrm>
                      <a:off x="0" y="0"/>
                      <a:ext cx="9776460" cy="5499735"/>
                    </a:xfrm>
                    <a:prstGeom prst="rect">
                      <a:avLst/>
                    </a:prstGeom>
                    <a:noFill/>
                    <a:ln>
                      <a:noFill/>
                    </a:ln>
                  </pic:spPr>
                </pic:pic>
              </a:graphicData>
            </a:graphic>
          </wp:inline>
        </w:drawing>
      </w:r>
    </w:p>
    <w:bookmarkEnd w:id="1"/>
    <w:p>
      <w:pPr>
        <w:widowControl/>
        <w:jc w:val="left"/>
        <w:rPr>
          <w:rFonts w:ascii="宋体" w:eastAsia="宋体" w:cs="宋体"/>
          <w:kern w:val="0"/>
          <w:sz w:val="24"/>
          <w:szCs w:val="24"/>
        </w:rPr>
      </w:pPr>
      <w:r>
        <w:rPr>
          <w:rFonts w:hint="eastAsia" w:ascii="Times New Roman" w:hAnsi="Times New Roman" w:eastAsia="方正小标宋_GBK" w:cs="Times New Roman"/>
          <w:color w:val="000000"/>
          <w:kern w:val="0"/>
          <w:sz w:val="36"/>
          <w:szCs w:val="36"/>
        </w:rPr>
        <w:drawing>
          <wp:inline distT="0" distB="0" distL="114300" distR="114300">
            <wp:extent cx="9774555" cy="5869305"/>
            <wp:effectExtent l="0" t="0" r="7620" b="762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0"/>
                    <a:stretch>
                      <a:fillRect/>
                    </a:stretch>
                  </pic:blipFill>
                  <pic:spPr>
                    <a:xfrm>
                      <a:off x="0" y="0"/>
                      <a:ext cx="9774555" cy="5869305"/>
                    </a:xfrm>
                    <a:prstGeom prst="rect">
                      <a:avLst/>
                    </a:prstGeom>
                    <a:noFill/>
                    <a:ln>
                      <a:noFill/>
                    </a:ln>
                  </pic:spPr>
                </pic:pic>
              </a:graphicData>
            </a:graphic>
          </wp:inline>
        </w:drawing>
      </w:r>
    </w:p>
    <w:p>
      <w:pPr>
        <w:autoSpaceDE w:val="0"/>
        <w:autoSpaceDN w:val="0"/>
        <w:adjustRightInd w:val="0"/>
        <w:ind w:left="315" w:leftChars="150"/>
        <w:jc w:val="left"/>
        <w:rPr>
          <w:rFonts w:ascii="宋体" w:eastAsia="宋体" w:cs="宋体"/>
          <w:kern w:val="0"/>
          <w:sz w:val="24"/>
          <w:szCs w:val="24"/>
        </w:rPr>
      </w:pPr>
    </w:p>
    <w:p>
      <w:pPr>
        <w:widowControl/>
        <w:jc w:val="right"/>
        <w:rPr>
          <w:rFonts w:ascii="Times New Roman" w:hAnsi="Times New Roman" w:eastAsia="仿宋_GB2312" w:cs="Times New Roman"/>
          <w:color w:val="000000"/>
          <w:kern w:val="0"/>
          <w:szCs w:val="21"/>
        </w:rPr>
      </w:pPr>
      <w:r>
        <w:rPr>
          <w:rFonts w:ascii="Times New Roman" w:hAnsi="Times New Roman" w:eastAsia="方正小标宋_GBK" w:cs="Times New Roman"/>
          <w:kern w:val="0"/>
          <w:sz w:val="36"/>
          <w:szCs w:val="36"/>
        </w:rPr>
        <w:drawing>
          <wp:inline distT="0" distB="0" distL="114300" distR="114300">
            <wp:extent cx="9776460" cy="5499735"/>
            <wp:effectExtent l="0" t="0" r="5715" b="571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1"/>
                    <a:stretch>
                      <a:fillRect/>
                    </a:stretch>
                  </pic:blipFill>
                  <pic:spPr>
                    <a:xfrm>
                      <a:off x="0" y="0"/>
                      <a:ext cx="9776460" cy="5499735"/>
                    </a:xfrm>
                    <a:prstGeom prst="rect">
                      <a:avLst/>
                    </a:prstGeom>
                    <a:noFill/>
                    <a:ln>
                      <a:noFill/>
                    </a:ln>
                  </pic:spPr>
                </pic:pic>
              </a:graphicData>
            </a:graphic>
          </wp:inline>
        </w:drawing>
      </w:r>
    </w:p>
    <w:p>
      <w:pPr>
        <w:widowControl/>
        <w:jc w:val="left"/>
        <w:rPr>
          <w:rFonts w:ascii="黑体" w:hAnsi="黑体" w:eastAsia="黑体"/>
          <w:szCs w:val="21"/>
        </w:rPr>
      </w:pPr>
      <w:r>
        <w:rPr>
          <w:rFonts w:ascii="黑体" w:hAnsi="黑体" w:eastAsia="黑体"/>
          <w:szCs w:val="21"/>
        </w:rPr>
        <w:drawing>
          <wp:inline distT="0" distB="0" distL="114300" distR="114300">
            <wp:extent cx="9776460" cy="5499735"/>
            <wp:effectExtent l="0" t="0" r="5715" b="571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2"/>
                    <a:stretch>
                      <a:fillRect/>
                    </a:stretch>
                  </pic:blipFill>
                  <pic:spPr>
                    <a:xfrm>
                      <a:off x="0" y="0"/>
                      <a:ext cx="9776460" cy="5499735"/>
                    </a:xfrm>
                    <a:prstGeom prst="rect">
                      <a:avLst/>
                    </a:prstGeom>
                    <a:noFill/>
                    <a:ln>
                      <a:noFill/>
                    </a:ln>
                  </pic:spPr>
                </pic:pic>
              </a:graphicData>
            </a:graphic>
          </wp:inline>
        </w:drawing>
      </w:r>
      <w:r>
        <w:rPr>
          <w:rFonts w:ascii="黑体" w:hAnsi="黑体" w:eastAsia="黑体"/>
          <w:szCs w:val="21"/>
        </w:rPr>
        <w:drawing>
          <wp:inline distT="0" distB="0" distL="114300" distR="114300">
            <wp:extent cx="9776460" cy="5499735"/>
            <wp:effectExtent l="0" t="0" r="5715" b="5715"/>
            <wp:docPr id="9" name="图片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9"/>
                    <pic:cNvPicPr>
                      <a:picLocks noChangeAspect="1"/>
                    </pic:cNvPicPr>
                  </pic:nvPicPr>
                  <pic:blipFill>
                    <a:blip r:embed="rId13"/>
                    <a:stretch>
                      <a:fillRect/>
                    </a:stretch>
                  </pic:blipFill>
                  <pic:spPr>
                    <a:xfrm>
                      <a:off x="0" y="0"/>
                      <a:ext cx="9776460" cy="5499735"/>
                    </a:xfrm>
                    <a:prstGeom prst="rect">
                      <a:avLst/>
                    </a:prstGeom>
                    <a:noFill/>
                    <a:ln>
                      <a:noFill/>
                    </a:ln>
                  </pic:spPr>
                </pic:pic>
              </a:graphicData>
            </a:graphic>
          </wp:inline>
        </w:drawing>
      </w: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第三部分</w:t>
      </w:r>
    </w:p>
    <w:p>
      <w:pPr>
        <w:pStyle w:val="15"/>
        <w:jc w:val="center"/>
        <w:rPr>
          <w:sz w:val="70"/>
          <w:szCs w:val="70"/>
        </w:rPr>
      </w:pPr>
    </w:p>
    <w:p>
      <w:pPr>
        <w:pStyle w:val="15"/>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5"/>
        <w:rPr>
          <w:rFonts w:asciiTheme="minorEastAsia" w:hAnsiTheme="minorEastAsia" w:eastAsiaTheme="minorEastAsia"/>
          <w:sz w:val="32"/>
          <w:szCs w:val="32"/>
        </w:rPr>
      </w:pPr>
    </w:p>
    <w:p>
      <w:pPr>
        <w:pStyle w:val="15"/>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eastAsia" w:ascii="宋体" w:hAnsi="宋体" w:eastAsia="宋体"/>
          <w:bCs w:val="0"/>
          <w:sz w:val="32"/>
          <w:szCs w:val="32"/>
        </w:rPr>
      </w:pPr>
      <w:r>
        <w:rPr>
          <w:rFonts w:hint="eastAsia" w:ascii="宋体" w:hAnsi="宋体" w:eastAsia="宋体"/>
          <w:sz w:val="32"/>
          <w:szCs w:val="32"/>
        </w:rPr>
        <w:t>2021年度收、支总计</w:t>
      </w:r>
      <w:r>
        <w:rPr>
          <w:rFonts w:hint="eastAsia" w:ascii="宋体" w:hAnsi="宋体"/>
          <w:sz w:val="32"/>
          <w:szCs w:val="32"/>
          <w:lang w:val="en-US" w:eastAsia="zh-CN"/>
        </w:rPr>
        <w:t>各</w:t>
      </w:r>
      <w:r>
        <w:rPr>
          <w:rFonts w:hint="eastAsia" w:ascii="宋体" w:hAnsi="宋体" w:eastAsia="宋体"/>
          <w:sz w:val="32"/>
          <w:szCs w:val="32"/>
        </w:rPr>
        <w:t>155.47万元。与上年相比，</w:t>
      </w:r>
      <w:r>
        <w:rPr>
          <w:rFonts w:hint="eastAsia" w:ascii="宋体" w:hAnsi="宋体"/>
          <w:sz w:val="32"/>
          <w:szCs w:val="32"/>
          <w:lang w:val="en-US" w:eastAsia="zh-CN"/>
        </w:rPr>
        <w:t>各</w:t>
      </w:r>
      <w:r>
        <w:rPr>
          <w:rFonts w:hint="eastAsia" w:ascii="宋体" w:hAnsi="宋体" w:eastAsia="宋体"/>
          <w:sz w:val="32"/>
          <w:szCs w:val="32"/>
        </w:rPr>
        <w:t>减少13.36万元，降低7.91%</w:t>
      </w:r>
      <w:r>
        <w:rPr>
          <w:rFonts w:hint="eastAsia" w:ascii="宋体" w:hAnsi="宋体" w:eastAsia="宋体"/>
          <w:sz w:val="32"/>
          <w:szCs w:val="32"/>
          <w:lang w:eastAsia="zh-CN"/>
        </w:rPr>
        <w:t>，</w:t>
      </w:r>
      <w:r>
        <w:rPr>
          <w:rFonts w:hint="eastAsia" w:ascii="宋体" w:hAnsi="宋体" w:eastAsia="宋体"/>
          <w:bCs w:val="0"/>
          <w:sz w:val="32"/>
          <w:szCs w:val="32"/>
        </w:rPr>
        <w:t>主要原因是</w:t>
      </w:r>
      <w:r>
        <w:rPr>
          <w:rFonts w:hint="eastAsia" w:ascii="宋体" w:hAnsi="宋体"/>
          <w:sz w:val="32"/>
          <w:szCs w:val="32"/>
        </w:rPr>
        <w:t>削减日常公用经费</w:t>
      </w:r>
      <w:r>
        <w:rPr>
          <w:rFonts w:hint="eastAsia" w:ascii="宋体" w:hAnsi="宋体" w:eastAsia="宋体"/>
          <w:bCs w:val="0"/>
          <w:sz w:val="32"/>
          <w:szCs w:val="32"/>
        </w:rPr>
        <w:t>。</w:t>
      </w:r>
    </w:p>
    <w:p>
      <w:pPr>
        <w:pStyle w:val="15"/>
        <w:snapToGrid w:val="0"/>
        <w:spacing w:line="520" w:lineRule="exact"/>
        <w:ind w:firstLine="640" w:firstLineChars="200"/>
        <w:rPr>
          <w:rFonts w:ascii="宋体" w:hAnsi="宋体" w:eastAsia="宋体"/>
          <w:sz w:val="32"/>
          <w:szCs w:val="32"/>
        </w:rPr>
      </w:pPr>
    </w:p>
    <w:p>
      <w:pPr>
        <w:pStyle w:val="15"/>
        <w:rPr>
          <w:rFonts w:hAnsi="黑体"/>
          <w:b/>
          <w:sz w:val="32"/>
          <w:szCs w:val="32"/>
        </w:rPr>
      </w:pPr>
      <w:r>
        <w:rPr>
          <w:rFonts w:hint="eastAsia" w:hAnsi="黑体"/>
          <w:b/>
          <w:sz w:val="32"/>
          <w:szCs w:val="32"/>
        </w:rPr>
        <w:t>二、收入决算情况说明</w:t>
      </w:r>
    </w:p>
    <w:p>
      <w:pPr>
        <w:pStyle w:val="15"/>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155.47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155.47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5"/>
        <w:rPr>
          <w:rFonts w:hAnsi="黑体"/>
          <w:b/>
          <w:sz w:val="32"/>
          <w:szCs w:val="32"/>
        </w:rPr>
      </w:pPr>
      <w:r>
        <w:rPr>
          <w:rFonts w:hint="eastAsia" w:hAnsi="黑体"/>
          <w:b/>
          <w:sz w:val="32"/>
          <w:szCs w:val="32"/>
        </w:rPr>
        <w:t>三、支出决算情况说明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155.47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137.33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88.33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18.15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11.67</w:t>
      </w:r>
      <w:r>
        <w:rPr>
          <w:rFonts w:hint="eastAsia" w:asciiTheme="minorEastAsia" w:hAnsiTheme="minorEastAsia" w:eastAsiaTheme="minorEastAsia"/>
          <w:sz w:val="32"/>
          <w:szCs w:val="32"/>
        </w:rPr>
        <w:t>%。</w:t>
      </w:r>
    </w:p>
    <w:p>
      <w:pPr>
        <w:pStyle w:val="15"/>
        <w:rPr>
          <w:rFonts w:hAnsi="黑体"/>
          <w:b/>
          <w:sz w:val="32"/>
          <w:szCs w:val="32"/>
        </w:rPr>
      </w:pPr>
      <w:r>
        <w:rPr>
          <w:rFonts w:hint="eastAsia" w:hAnsi="黑体"/>
          <w:b/>
          <w:sz w:val="32"/>
          <w:szCs w:val="32"/>
        </w:rPr>
        <w:t>四、财政拨款收入支出决算总体情况说明</w:t>
      </w:r>
    </w:p>
    <w:p>
      <w:pPr>
        <w:snapToGrid w:val="0"/>
        <w:spacing w:line="520" w:lineRule="exact"/>
        <w:ind w:firstLine="640" w:firstLineChars="200"/>
        <w:rPr>
          <w:rFonts w:hint="eastAsia" w:ascii="宋体" w:hAnsi="宋体" w:eastAsia="宋体"/>
          <w:bCs w:val="0"/>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各</w:t>
      </w:r>
      <w:r>
        <w:rPr>
          <w:rFonts w:hint="eastAsia" w:ascii="宋体" w:hAnsi="宋体" w:eastAsia="宋体"/>
          <w:sz w:val="32"/>
          <w:szCs w:val="32"/>
        </w:rPr>
        <w:t>155.47万元。与上年相比，</w:t>
      </w:r>
      <w:r>
        <w:rPr>
          <w:rFonts w:hint="eastAsia" w:ascii="宋体" w:hAnsi="宋体"/>
          <w:sz w:val="32"/>
          <w:szCs w:val="32"/>
          <w:lang w:val="en-US" w:eastAsia="zh-CN"/>
        </w:rPr>
        <w:t>各</w:t>
      </w:r>
      <w:r>
        <w:rPr>
          <w:rFonts w:hint="eastAsia" w:ascii="宋体" w:hAnsi="宋体" w:eastAsia="宋体"/>
          <w:sz w:val="32"/>
          <w:szCs w:val="32"/>
        </w:rPr>
        <w:t>减少13.36万元，降低7.91%</w:t>
      </w:r>
      <w:r>
        <w:rPr>
          <w:rFonts w:hint="eastAsia" w:ascii="宋体" w:hAnsi="宋体" w:eastAsia="宋体"/>
          <w:sz w:val="32"/>
          <w:szCs w:val="32"/>
          <w:lang w:eastAsia="zh-CN"/>
        </w:rPr>
        <w:t>，</w:t>
      </w:r>
      <w:r>
        <w:rPr>
          <w:rFonts w:hint="eastAsia" w:ascii="宋体" w:hAnsi="宋体" w:eastAsia="宋体"/>
          <w:bCs w:val="0"/>
          <w:sz w:val="32"/>
          <w:szCs w:val="32"/>
        </w:rPr>
        <w:t>主要原因是</w:t>
      </w:r>
      <w:r>
        <w:rPr>
          <w:rFonts w:hint="eastAsia" w:ascii="宋体" w:hAnsi="宋体"/>
          <w:sz w:val="32"/>
          <w:szCs w:val="32"/>
        </w:rPr>
        <w:t>削减日常公用经费</w:t>
      </w:r>
      <w:r>
        <w:rPr>
          <w:rFonts w:hint="eastAsia" w:ascii="宋体" w:hAnsi="宋体" w:eastAsia="宋体"/>
          <w:bCs w:val="0"/>
          <w:sz w:val="32"/>
          <w:szCs w:val="32"/>
        </w:rPr>
        <w:t>。</w:t>
      </w:r>
    </w:p>
    <w:p>
      <w:pPr>
        <w:pStyle w:val="15"/>
        <w:rPr>
          <w:rFonts w:hAnsi="黑体"/>
          <w:b/>
          <w:sz w:val="32"/>
          <w:szCs w:val="32"/>
        </w:rPr>
      </w:pPr>
      <w:r>
        <w:rPr>
          <w:rFonts w:hint="eastAsia" w:hAnsi="黑体"/>
          <w:b/>
          <w:sz w:val="32"/>
          <w:szCs w:val="32"/>
        </w:rPr>
        <w:t>五、一般公共预算财政拨款支出决算情况说明</w:t>
      </w:r>
    </w:p>
    <w:p>
      <w:pPr>
        <w:pStyle w:val="15"/>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5"/>
        <w:ind w:firstLine="800" w:firstLineChars="250"/>
        <w:rPr>
          <w:rFonts w:hint="eastAsia" w:ascii="宋体" w:hAnsi="宋体" w:eastAsia="宋体" w:cs="宋体"/>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155.47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13.36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是</w:t>
      </w:r>
      <w:r>
        <w:rPr>
          <w:rFonts w:hint="eastAsia" w:ascii="宋体" w:hAnsi="宋体" w:eastAsia="宋体" w:cs="宋体"/>
          <w:sz w:val="32"/>
          <w:szCs w:val="32"/>
        </w:rPr>
        <w:t>削减日常公用经费</w:t>
      </w:r>
      <w:r>
        <w:rPr>
          <w:rFonts w:hint="eastAsia" w:ascii="宋体" w:hAnsi="宋体" w:eastAsia="宋体" w:cs="宋体"/>
          <w:bCs w:val="0"/>
          <w:sz w:val="32"/>
          <w:szCs w:val="32"/>
        </w:rPr>
        <w:t>。</w:t>
      </w:r>
    </w:p>
    <w:p>
      <w:pPr>
        <w:pStyle w:val="15"/>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155.47</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143.87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10.6万元，占6.82%。</w:t>
      </w:r>
    </w:p>
    <w:p>
      <w:pPr>
        <w:pStyle w:val="15"/>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ind w:firstLine="640" w:firstLineChars="200"/>
        <w:jc w:val="left"/>
        <w:rPr>
          <w:rFonts w:ascii="仿宋" w:eastAsia="仿宋" w:cs="仿宋"/>
          <w:sz w:val="32"/>
          <w:szCs w:val="32"/>
        </w:rPr>
      </w:pPr>
      <w:r>
        <w:rPr>
          <w:rFonts w:hint="eastAsia" w:ascii="宋体" w:hAnsi="宋体"/>
          <w:sz w:val="32"/>
          <w:szCs w:val="32"/>
        </w:rPr>
        <w:t>2021年度财政拨款支出年初预算数为</w:t>
      </w:r>
      <w:r>
        <w:rPr>
          <w:rFonts w:ascii="仿宋" w:eastAsia="仿宋" w:cs="仿宋"/>
          <w:sz w:val="32"/>
          <w:szCs w:val="32"/>
        </w:rPr>
        <w:t>5466</w:t>
      </w:r>
      <w:r>
        <w:rPr>
          <w:rFonts w:hint="eastAsia" w:ascii="仿宋" w:eastAsia="仿宋" w:cs="仿宋"/>
          <w:sz w:val="32"/>
          <w:szCs w:val="32"/>
        </w:rPr>
        <w:t>.</w:t>
      </w:r>
      <w:r>
        <w:rPr>
          <w:rFonts w:ascii="仿宋" w:eastAsia="仿宋" w:cs="仿宋"/>
          <w:sz w:val="32"/>
          <w:szCs w:val="32"/>
        </w:rPr>
        <w:t>24</w:t>
      </w:r>
      <w:r>
        <w:rPr>
          <w:rFonts w:hint="eastAsia" w:ascii="宋体" w:hAnsi="宋体"/>
          <w:sz w:val="32"/>
          <w:szCs w:val="32"/>
        </w:rPr>
        <w:t>万元，支出决算数</w:t>
      </w:r>
      <w:r>
        <w:rPr>
          <w:rFonts w:hint="eastAsia" w:ascii="仿宋" w:eastAsia="仿宋" w:cs="仿宋"/>
          <w:sz w:val="32"/>
          <w:szCs w:val="32"/>
        </w:rPr>
        <w:t>4,879.36</w:t>
      </w:r>
      <w:r>
        <w:rPr>
          <w:rFonts w:hint="eastAsia" w:ascii="宋体" w:hAnsi="宋体"/>
          <w:sz w:val="32"/>
          <w:szCs w:val="32"/>
        </w:rPr>
        <w:t>万元，完成年初预算的89.26%，其中：</w:t>
      </w:r>
    </w:p>
    <w:p>
      <w:pPr>
        <w:jc w:val="left"/>
        <w:rPr>
          <w:rFonts w:ascii="宋体" w:hAnsi="宋体" w:cs="Arial"/>
          <w:color w:val="000000"/>
          <w:kern w:val="0"/>
          <w:sz w:val="22"/>
        </w:rPr>
      </w:pPr>
      <w:r>
        <w:rPr>
          <w:rFonts w:hint="eastAsia" w:ascii="宋体" w:hAnsi="宋体"/>
          <w:sz w:val="32"/>
          <w:szCs w:val="32"/>
        </w:rPr>
        <w:t>1、一般公共服务政府办公厅（室）及相关机构事务行政运行。</w:t>
      </w:r>
    </w:p>
    <w:p>
      <w:pPr>
        <w:pStyle w:val="15"/>
        <w:ind w:firstLine="800" w:firstLineChars="250"/>
        <w:rPr>
          <w:rFonts w:ascii="宋体" w:hAnsi="宋体" w:eastAsia="宋体"/>
          <w:sz w:val="32"/>
          <w:szCs w:val="32"/>
        </w:rPr>
      </w:pPr>
      <w:r>
        <w:rPr>
          <w:rFonts w:hint="eastAsia" w:ascii="宋体" w:hAnsi="宋体" w:eastAsia="宋体"/>
          <w:sz w:val="32"/>
          <w:szCs w:val="32"/>
        </w:rPr>
        <w:t>年初预算为0万元，支出决算为32.16万元，决算数大于年初预算数的主要原因是：年中追加32.16万元。</w:t>
      </w:r>
    </w:p>
    <w:p>
      <w:pPr>
        <w:jc w:val="left"/>
        <w:rPr>
          <w:rFonts w:ascii="宋体" w:hAnsi="宋体" w:cs="Times New Roman"/>
          <w:color w:val="auto"/>
          <w:kern w:val="2"/>
          <w:sz w:val="32"/>
          <w:szCs w:val="32"/>
        </w:rPr>
      </w:pPr>
      <w:r>
        <w:rPr>
          <w:rFonts w:hint="eastAsia" w:ascii="宋体" w:hAnsi="宋体"/>
          <w:sz w:val="32"/>
          <w:szCs w:val="32"/>
        </w:rPr>
        <w:t>2、一般公共服务纪检监察事务行政运行。</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年初预算为81.88万元，支出决算为76.8万元，完成年初预算的93.8%，决算数小于年初预算数的主要原因是：行政运行经费支出减少。</w:t>
      </w:r>
    </w:p>
    <w:p>
      <w:pPr>
        <w:jc w:val="left"/>
        <w:rPr>
          <w:rFonts w:hint="eastAsia" w:ascii="宋体" w:hAnsi="宋体" w:cs="Times New Roman"/>
          <w:color w:val="auto"/>
          <w:kern w:val="2"/>
          <w:sz w:val="32"/>
          <w:szCs w:val="32"/>
        </w:rPr>
      </w:pPr>
      <w:r>
        <w:rPr>
          <w:rFonts w:hint="eastAsia" w:ascii="宋体" w:hAnsi="宋体" w:cs="黑体"/>
          <w:color w:val="000000"/>
          <w:kern w:val="0"/>
          <w:sz w:val="32"/>
          <w:szCs w:val="32"/>
        </w:rPr>
        <w:t>3、</w:t>
      </w:r>
      <w:r>
        <w:rPr>
          <w:rFonts w:hint="eastAsia" w:ascii="宋体" w:hAnsi="宋体"/>
          <w:sz w:val="32"/>
          <w:szCs w:val="32"/>
        </w:rPr>
        <w:t>一般公共服务纪检监察事务其他纪检监察事务支出</w:t>
      </w:r>
      <w:r>
        <w:rPr>
          <w:rFonts w:hint="eastAsia" w:ascii="宋体" w:hAnsi="宋体" w:cs="黑体"/>
          <w:color w:val="000000"/>
          <w:kern w:val="0"/>
          <w:sz w:val="32"/>
          <w:szCs w:val="32"/>
        </w:rPr>
        <w:t>。</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年初预算为14万元，支出决算为32.47万元，完成年初预算的231.93%，决算数大于年初预算数的主要原因是：本年度其他纪检监察事务支出增加。</w:t>
      </w:r>
    </w:p>
    <w:p>
      <w:pPr>
        <w:pStyle w:val="15"/>
        <w:rPr>
          <w:rFonts w:hint="eastAsia" w:ascii="宋体" w:hAnsi="宋体" w:eastAsia="宋体"/>
          <w:sz w:val="32"/>
          <w:szCs w:val="32"/>
        </w:rPr>
      </w:pPr>
      <w:r>
        <w:rPr>
          <w:rFonts w:hint="eastAsia" w:ascii="宋体" w:hAnsi="宋体" w:eastAsia="宋体"/>
          <w:sz w:val="32"/>
          <w:szCs w:val="32"/>
        </w:rPr>
        <w:t>4、一般公共服务支出其他组织事务支出。</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年初预算为0万元，支出决算为0.78万元，决算数大于年初预算数的主要原因是：年中追加0.78万元。</w:t>
      </w:r>
    </w:p>
    <w:p>
      <w:pPr>
        <w:jc w:val="left"/>
        <w:rPr>
          <w:rFonts w:hint="eastAsia" w:ascii="宋体" w:hAnsi="宋体"/>
          <w:color w:val="FF0000"/>
          <w:sz w:val="32"/>
          <w:szCs w:val="32"/>
        </w:rPr>
      </w:pPr>
      <w:r>
        <w:rPr>
          <w:rFonts w:hint="eastAsia" w:ascii="宋体" w:hAnsi="宋体"/>
          <w:sz w:val="32"/>
          <w:szCs w:val="32"/>
        </w:rPr>
        <w:t>5、</w:t>
      </w:r>
      <w:r>
        <w:rPr>
          <w:rFonts w:hint="eastAsia" w:ascii="宋体" w:hAnsi="宋体" w:cs="黑体"/>
          <w:color w:val="000000"/>
          <w:kern w:val="0"/>
          <w:sz w:val="32"/>
          <w:szCs w:val="32"/>
        </w:rPr>
        <w:t>一般公共服务支出其他共产党事务支出。</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年初预算为0.94万元，支出决算为1.66万元，完成年初预算的176.6%，决算数大于年初预算数的主要原因是：年中追加0.72万元。</w:t>
      </w:r>
    </w:p>
    <w:p>
      <w:pPr>
        <w:jc w:val="left"/>
        <w:rPr>
          <w:rFonts w:hint="eastAsia" w:ascii="宋体" w:hAnsi="宋体" w:cs="黑体"/>
          <w:color w:val="000000"/>
          <w:kern w:val="0"/>
          <w:sz w:val="32"/>
          <w:szCs w:val="32"/>
        </w:rPr>
      </w:pPr>
      <w:r>
        <w:rPr>
          <w:rFonts w:hint="eastAsia" w:ascii="宋体" w:hAnsi="宋体" w:cs="黑体"/>
          <w:color w:val="000000"/>
          <w:kern w:val="0"/>
          <w:sz w:val="32"/>
          <w:szCs w:val="32"/>
        </w:rPr>
        <w:t>6、住房保障支出住房改革支出住房公积金。</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年初预算为8.12万元，支出决算为10.6万元，完成年初预算的130.54%，决算数大于年初预算数的主要原因是：年中追加2.48万元。</w:t>
      </w:r>
    </w:p>
    <w:p>
      <w:pPr>
        <w:jc w:val="left"/>
        <w:rPr>
          <w:rFonts w:hint="eastAsia" w:ascii="宋体" w:hAnsi="宋体"/>
          <w:sz w:val="32"/>
          <w:szCs w:val="32"/>
        </w:rPr>
      </w:pPr>
      <w:r>
        <w:rPr>
          <w:rFonts w:hint="eastAsia" w:ascii="宋体" w:hAnsi="宋体" w:cs="黑体"/>
          <w:color w:val="000000"/>
          <w:kern w:val="0"/>
          <w:sz w:val="32"/>
          <w:szCs w:val="32"/>
        </w:rPr>
        <w:t>7、</w:t>
      </w:r>
      <w:r>
        <w:rPr>
          <w:rFonts w:hint="eastAsia" w:ascii="宋体" w:hAnsi="宋体"/>
          <w:sz w:val="32"/>
          <w:szCs w:val="32"/>
        </w:rPr>
        <w:t>社会保障和就业支出行政事业单位养老支出机关事业单位基本养老保险缴费支出。</w:t>
      </w:r>
    </w:p>
    <w:p>
      <w:pPr>
        <w:ind w:firstLine="640" w:firstLineChars="200"/>
        <w:jc w:val="left"/>
        <w:rPr>
          <w:rFonts w:hint="eastAsia" w:ascii="宋体" w:hAnsi="宋体"/>
          <w:sz w:val="32"/>
          <w:szCs w:val="32"/>
        </w:rPr>
      </w:pPr>
      <w:r>
        <w:rPr>
          <w:rFonts w:hint="eastAsia" w:ascii="宋体" w:hAnsi="宋体"/>
          <w:sz w:val="32"/>
          <w:szCs w:val="32"/>
        </w:rPr>
        <w:t>年初预算为7.27万元，支出决算为0万元，完成年初预算的0%，决算数小于年初预算数的主要原因是：机关事业单位基本养老保险缴费由组工局统一缴纳。</w:t>
      </w:r>
    </w:p>
    <w:p>
      <w:pPr>
        <w:jc w:val="left"/>
        <w:rPr>
          <w:rFonts w:hint="eastAsia" w:ascii="宋体" w:hAnsi="宋体"/>
          <w:sz w:val="32"/>
          <w:szCs w:val="32"/>
        </w:rPr>
      </w:pPr>
      <w:r>
        <w:rPr>
          <w:rFonts w:hint="eastAsia" w:ascii="宋体" w:hAnsi="宋体"/>
          <w:sz w:val="32"/>
          <w:szCs w:val="32"/>
        </w:rPr>
        <w:t>8、社会保障和就业支出行政事业单位养老支出机关事业单位职业年金缴费支出。</w:t>
      </w:r>
    </w:p>
    <w:p>
      <w:pPr>
        <w:ind w:firstLine="640" w:firstLineChars="200"/>
        <w:jc w:val="left"/>
        <w:rPr>
          <w:rFonts w:hint="eastAsia" w:ascii="宋体" w:hAnsi="宋体"/>
          <w:sz w:val="32"/>
          <w:szCs w:val="32"/>
        </w:rPr>
      </w:pPr>
      <w:r>
        <w:rPr>
          <w:rFonts w:hint="eastAsia" w:ascii="宋体" w:hAnsi="宋体"/>
          <w:sz w:val="32"/>
          <w:szCs w:val="32"/>
        </w:rPr>
        <w:t>年初预算为3.64万元，支出决算为0万元，完成年初预算的0%，决算数小于年初预算数的主要原因是：机关事业单位职业年金缴费由组工局统一缴纳。</w:t>
      </w:r>
    </w:p>
    <w:p>
      <w:pPr>
        <w:jc w:val="left"/>
        <w:rPr>
          <w:rFonts w:hint="eastAsia" w:ascii="宋体" w:hAnsi="宋体"/>
          <w:sz w:val="32"/>
          <w:szCs w:val="32"/>
        </w:rPr>
      </w:pPr>
      <w:r>
        <w:rPr>
          <w:rFonts w:hint="eastAsia" w:ascii="宋体" w:hAnsi="宋体"/>
          <w:sz w:val="32"/>
          <w:szCs w:val="32"/>
        </w:rPr>
        <w:t>9、卫生健康支出行政事业单位医疗事业单位医疗。</w:t>
      </w:r>
    </w:p>
    <w:p>
      <w:pPr>
        <w:ind w:firstLine="640" w:firstLineChars="200"/>
        <w:jc w:val="left"/>
        <w:rPr>
          <w:rFonts w:hint="eastAsia" w:ascii="宋体" w:hAnsi="宋体"/>
          <w:sz w:val="32"/>
          <w:szCs w:val="32"/>
        </w:rPr>
      </w:pPr>
      <w:r>
        <w:rPr>
          <w:rFonts w:hint="eastAsia" w:ascii="宋体" w:hAnsi="宋体"/>
          <w:sz w:val="32"/>
          <w:szCs w:val="32"/>
        </w:rPr>
        <w:t>年初预算为5.81万元，支出决算为0万元，完成年初预算的0%，决算数小于年初预算数的主要原因是：医疗事业单位医疗由组工局统一缴纳。</w:t>
      </w:r>
    </w:p>
    <w:p>
      <w:pPr>
        <w:jc w:val="left"/>
        <w:rPr>
          <w:rFonts w:hint="eastAsia" w:ascii="宋体" w:hAnsi="宋体"/>
          <w:sz w:val="32"/>
          <w:szCs w:val="32"/>
        </w:rPr>
      </w:pPr>
      <w:r>
        <w:rPr>
          <w:rFonts w:hint="eastAsia" w:ascii="宋体" w:hAnsi="宋体"/>
          <w:sz w:val="32"/>
          <w:szCs w:val="32"/>
        </w:rPr>
        <w:t>10、卫生健康支出行政事业单位医疗公务员医疗补助。</w:t>
      </w:r>
    </w:p>
    <w:p>
      <w:pPr>
        <w:ind w:firstLine="640" w:firstLineChars="200"/>
        <w:jc w:val="left"/>
        <w:rPr>
          <w:rFonts w:ascii="宋体" w:hAnsi="宋体"/>
          <w:sz w:val="32"/>
          <w:szCs w:val="32"/>
        </w:rPr>
      </w:pPr>
      <w:r>
        <w:rPr>
          <w:rFonts w:hint="eastAsia" w:ascii="宋体" w:hAnsi="宋体"/>
          <w:sz w:val="32"/>
          <w:szCs w:val="32"/>
        </w:rPr>
        <w:t>年初预算为2.66万元，支出决算为0万元，完成年初预算的0%，决算数小于年初预算数的主要原因是：医疗公务员医疗补助由组工局统一缴纳。</w:t>
      </w:r>
    </w:p>
    <w:p>
      <w:pPr>
        <w:pStyle w:val="15"/>
        <w:rPr>
          <w:rFonts w:hint="eastAsia" w:ascii="宋体" w:hAnsi="宋体" w:eastAsia="宋体"/>
          <w:sz w:val="32"/>
          <w:szCs w:val="32"/>
        </w:rPr>
      </w:pPr>
      <w:r>
        <w:rPr>
          <w:rFonts w:hint="eastAsia" w:ascii="宋体" w:hAnsi="宋体" w:eastAsia="宋体"/>
          <w:sz w:val="32"/>
          <w:szCs w:val="32"/>
        </w:rPr>
        <w:t>11、城市公共设施。</w:t>
      </w:r>
    </w:p>
    <w:p>
      <w:pPr>
        <w:pStyle w:val="15"/>
        <w:ind w:firstLine="800" w:firstLineChars="250"/>
        <w:rPr>
          <w:rFonts w:hint="eastAsia" w:ascii="宋体" w:hAnsi="宋体" w:eastAsia="宋体"/>
          <w:sz w:val="32"/>
          <w:szCs w:val="32"/>
        </w:rPr>
      </w:pPr>
      <w:r>
        <w:rPr>
          <w:rFonts w:hint="eastAsia" w:ascii="宋体" w:hAnsi="宋体" w:eastAsia="宋体"/>
          <w:sz w:val="32"/>
          <w:szCs w:val="32"/>
        </w:rPr>
        <w:t>年初预算为0万元，支出决算为0.99万元，决算数大于年初预算数的主要原因是：年中追加0.99万元。</w:t>
      </w:r>
    </w:p>
    <w:p>
      <w:pPr>
        <w:pStyle w:val="15"/>
        <w:rPr>
          <w:rFonts w:hAnsi="黑体"/>
          <w:b/>
          <w:sz w:val="32"/>
          <w:szCs w:val="32"/>
        </w:rPr>
      </w:pPr>
      <w:r>
        <w:rPr>
          <w:rFonts w:hint="eastAsia" w:hAnsi="黑体"/>
          <w:b/>
          <w:sz w:val="32"/>
          <w:szCs w:val="32"/>
        </w:rPr>
        <w:t>六、一般公共预算财政拨款基本支出决算情况说明</w:t>
      </w:r>
    </w:p>
    <w:p>
      <w:pPr>
        <w:pStyle w:val="15"/>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136.33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97.38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71.43</w:t>
      </w:r>
      <w:r>
        <w:rPr>
          <w:rFonts w:hint="eastAsia" w:asciiTheme="minorEastAsia" w:hAnsiTheme="minorEastAsia" w:eastAsiaTheme="minorEastAsia"/>
          <w:sz w:val="32"/>
          <w:szCs w:val="32"/>
        </w:rPr>
        <w:t>%,主要包括基本工资、津贴补贴、伙食补助费</w:t>
      </w:r>
      <w:r>
        <w:rPr>
          <w:rFonts w:hint="eastAsia" w:asciiTheme="minorEastAsia" w:hAnsiTheme="minorEastAsia" w:eastAsiaTheme="minorEastAsia"/>
          <w:sz w:val="32"/>
          <w:szCs w:val="32"/>
          <w:lang w:eastAsia="zh-CN"/>
        </w:rPr>
        <w:t>绩效工资、住房公积金、其他工资福利支出、生活补助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38.95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28.57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邮电费、差旅费、维修（护）费、租赁费、会议费、培训费、公务接待费、劳务费、委托业务费、工会经费、</w:t>
      </w:r>
    </w:p>
    <w:p>
      <w:pPr>
        <w:pStyle w:val="15"/>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福利费、其他交通费、其他商品和服务支出、办公设备购置</w:t>
      </w:r>
      <w:r>
        <w:rPr>
          <w:rFonts w:hint="eastAsia" w:asciiTheme="minorEastAsia" w:hAnsiTheme="minorEastAsia" w:eastAsiaTheme="minorEastAsia"/>
          <w:sz w:val="32"/>
          <w:szCs w:val="32"/>
        </w:rPr>
        <w:t>。</w:t>
      </w:r>
    </w:p>
    <w:p>
      <w:pPr>
        <w:pStyle w:val="15"/>
        <w:rPr>
          <w:rFonts w:hAnsi="黑体"/>
          <w:b/>
          <w:sz w:val="32"/>
          <w:szCs w:val="32"/>
        </w:rPr>
      </w:pPr>
      <w:r>
        <w:rPr>
          <w:rFonts w:hint="eastAsia" w:hAnsi="黑体"/>
          <w:b/>
          <w:sz w:val="32"/>
          <w:szCs w:val="32"/>
        </w:rPr>
        <w:t>七、一般公共预算财政拨款“三公”经费支出决算情况说明</w:t>
      </w:r>
    </w:p>
    <w:p>
      <w:pPr>
        <w:pStyle w:val="15"/>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5"/>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2021年度</w:t>
      </w:r>
      <w:r>
        <w:rPr>
          <w:rFonts w:hint="eastAsia" w:ascii="宋体" w:hAnsi="宋体" w:eastAsia="宋体"/>
          <w:sz w:val="32"/>
          <w:szCs w:val="32"/>
        </w:rPr>
        <w:t>“三公”经费财政拨款支出预算为2.8万元，支出决算为0.81万元，完成预算的28.93%。其中：</w:t>
      </w:r>
    </w:p>
    <w:p>
      <w:pPr>
        <w:pStyle w:val="15"/>
        <w:ind w:firstLine="640" w:firstLineChars="200"/>
        <w:rPr>
          <w:rFonts w:hint="eastAsia" w:ascii="宋体" w:hAnsi="宋体" w:eastAsia="宋体"/>
          <w:sz w:val="32"/>
          <w:szCs w:val="32"/>
          <w:highlight w:val="none"/>
        </w:rPr>
      </w:pPr>
      <w:r>
        <w:rPr>
          <w:rFonts w:hint="eastAsia" w:ascii="宋体" w:hAnsi="宋体" w:eastAsia="宋体"/>
          <w:sz w:val="32"/>
          <w:szCs w:val="32"/>
        </w:rPr>
        <w:t>因公出国（境）费支出预算</w:t>
      </w:r>
      <w:r>
        <w:rPr>
          <w:rFonts w:hint="eastAsia" w:ascii="宋体" w:hAnsi="宋体" w:eastAsia="宋体"/>
          <w:sz w:val="32"/>
          <w:szCs w:val="32"/>
          <w:highlight w:val="none"/>
        </w:rPr>
        <w:t>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万元，支出决算为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预算数的主要原因是</w:t>
      </w:r>
      <w:r>
        <w:rPr>
          <w:rFonts w:hint="eastAsia" w:ascii="宋体" w:hAnsi="宋体" w:eastAsia="宋体"/>
          <w:sz w:val="32"/>
          <w:szCs w:val="32"/>
          <w:highlight w:val="none"/>
          <w:lang w:val="en-US" w:eastAsia="zh-CN"/>
        </w:rPr>
        <w:t>严格按预算控制支出，无</w:t>
      </w:r>
      <w:r>
        <w:rPr>
          <w:rFonts w:hint="eastAsia" w:ascii="宋体" w:hAnsi="宋体" w:eastAsia="宋体"/>
          <w:sz w:val="32"/>
          <w:szCs w:val="32"/>
        </w:rPr>
        <w:t>因公出国（境）费支出</w:t>
      </w:r>
      <w:r>
        <w:rPr>
          <w:rFonts w:hint="eastAsia" w:ascii="宋体" w:hAnsi="宋体" w:eastAsia="宋体"/>
          <w:sz w:val="32"/>
          <w:szCs w:val="32"/>
          <w:lang w:eastAsia="zh-CN"/>
        </w:rPr>
        <w:t>事项</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无变动</w:t>
      </w:r>
      <w:r>
        <w:rPr>
          <w:rFonts w:hint="eastAsia" w:ascii="宋体" w:hAnsi="宋体" w:eastAsia="宋体"/>
          <w:sz w:val="32"/>
          <w:szCs w:val="32"/>
          <w:highlight w:val="none"/>
        </w:rPr>
        <w:t>。</w:t>
      </w:r>
    </w:p>
    <w:p>
      <w:pPr>
        <w:pStyle w:val="15"/>
        <w:snapToGrid w:val="0"/>
        <w:spacing w:line="520" w:lineRule="exact"/>
        <w:ind w:firstLine="640" w:firstLineChars="200"/>
        <w:rPr>
          <w:rFonts w:hint="eastAsia" w:ascii="宋体" w:hAnsi="宋体" w:eastAsia="宋体"/>
          <w:sz w:val="32"/>
          <w:szCs w:val="32"/>
        </w:rPr>
      </w:pPr>
      <w:r>
        <w:rPr>
          <w:rFonts w:hint="eastAsia" w:ascii="宋体" w:hAnsi="宋体" w:eastAsia="宋体"/>
          <w:sz w:val="32"/>
          <w:szCs w:val="32"/>
          <w:highlight w:val="none"/>
        </w:rPr>
        <w:t>公务接待费支出预算为2.8万元，支出决算为0.81万元，完成预</w:t>
      </w:r>
      <w:r>
        <w:rPr>
          <w:rFonts w:hint="eastAsia" w:ascii="宋体" w:hAnsi="宋体" w:eastAsia="宋体"/>
          <w:sz w:val="32"/>
          <w:szCs w:val="32"/>
        </w:rPr>
        <w:t>算的26.93%，决算数小于预算数的主要原因是开支缩减，较上年减少0.2万元，降低6.67%。主要原因为精简三公经费开支。</w:t>
      </w:r>
    </w:p>
    <w:p>
      <w:pPr>
        <w:pStyle w:val="15"/>
        <w:snapToGrid w:val="0"/>
        <w:spacing w:line="520" w:lineRule="exact"/>
        <w:ind w:firstLine="640" w:firstLineChars="200"/>
        <w:rPr>
          <w:rFonts w:hint="eastAsia" w:ascii="宋体" w:hAnsi="宋体" w:eastAsia="宋体"/>
          <w:sz w:val="32"/>
          <w:szCs w:val="32"/>
          <w:highlight w:val="none"/>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万元，决算数</w:t>
      </w:r>
      <w:r>
        <w:rPr>
          <w:rFonts w:hint="eastAsia" w:ascii="宋体" w:hAnsi="宋体" w:eastAsia="宋体"/>
          <w:sz w:val="32"/>
          <w:szCs w:val="32"/>
          <w:lang w:val="en-US" w:eastAsia="zh-CN"/>
        </w:rPr>
        <w:t>等于</w:t>
      </w:r>
      <w:r>
        <w:rPr>
          <w:rFonts w:hint="eastAsia" w:ascii="宋体" w:hAnsi="宋体" w:eastAsia="宋体"/>
          <w:sz w:val="32"/>
          <w:szCs w:val="32"/>
        </w:rPr>
        <w:t>预算数的主要原因</w:t>
      </w:r>
      <w:r>
        <w:rPr>
          <w:rFonts w:hint="eastAsia" w:ascii="宋体" w:hAnsi="宋体" w:eastAsia="宋体"/>
          <w:sz w:val="32"/>
          <w:szCs w:val="32"/>
          <w:highlight w:val="none"/>
        </w:rPr>
        <w:t>是</w:t>
      </w:r>
      <w:r>
        <w:rPr>
          <w:rFonts w:hint="eastAsia" w:ascii="宋体" w:hAnsi="宋体" w:eastAsia="宋体"/>
          <w:sz w:val="32"/>
          <w:szCs w:val="32"/>
          <w:highlight w:val="none"/>
          <w:lang w:val="en-US" w:eastAsia="zh-CN"/>
        </w:rPr>
        <w:t>严格按预算控制支出</w:t>
      </w:r>
      <w:r>
        <w:rPr>
          <w:rFonts w:hint="eastAsia" w:ascii="宋体" w:hAnsi="宋体" w:eastAsia="宋体"/>
          <w:sz w:val="32"/>
          <w:szCs w:val="32"/>
          <w:highlight w:val="none"/>
        </w:rPr>
        <w:t>，</w:t>
      </w:r>
      <w:r>
        <w:rPr>
          <w:rFonts w:hint="eastAsia" w:ascii="宋体" w:hAnsi="宋体" w:eastAsia="宋体"/>
          <w:sz w:val="32"/>
          <w:szCs w:val="32"/>
          <w:highlight w:val="none"/>
          <w:lang w:eastAsia="zh-CN"/>
        </w:rPr>
        <w:t>单位无需公务用车，无相关</w:t>
      </w:r>
      <w:r>
        <w:rPr>
          <w:rFonts w:hint="eastAsia" w:ascii="宋体" w:hAnsi="宋体" w:eastAsia="宋体"/>
          <w:sz w:val="32"/>
          <w:szCs w:val="32"/>
          <w:highlight w:val="none"/>
        </w:rPr>
        <w:t>购置费及运行维护费支出</w:t>
      </w:r>
      <w:r>
        <w:rPr>
          <w:rFonts w:hint="eastAsia" w:ascii="宋体" w:hAnsi="宋体" w:eastAsia="宋体"/>
          <w:sz w:val="32"/>
          <w:szCs w:val="32"/>
          <w:highlight w:val="none"/>
          <w:lang w:eastAsia="zh-CN"/>
        </w:rPr>
        <w:t>，</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无变动</w:t>
      </w:r>
      <w:r>
        <w:rPr>
          <w:rFonts w:hint="eastAsia" w:ascii="宋体" w:hAnsi="宋体" w:eastAsia="宋体"/>
          <w:sz w:val="32"/>
          <w:szCs w:val="32"/>
          <w:highlight w:val="none"/>
        </w:rPr>
        <w:t>。</w:t>
      </w:r>
    </w:p>
    <w:p>
      <w:pPr>
        <w:pStyle w:val="15"/>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5"/>
        <w:ind w:firstLine="640" w:firstLineChars="200"/>
        <w:rPr>
          <w:rFonts w:hint="eastAsia" w:eastAsia="宋体" w:asciiTheme="minorEastAsia" w:hAnsiTheme="minorEastAsia"/>
          <w:sz w:val="32"/>
          <w:szCs w:val="32"/>
          <w:lang w:val="en-US"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0.81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市纪委信访调查督导及投标领域整治督查</w:t>
      </w:r>
      <w:r>
        <w:rPr>
          <w:rFonts w:hint="eastAsia" w:asciiTheme="minorEastAsia" w:hAnsiTheme="minorEastAsia" w:eastAsiaTheme="minorEastAsia"/>
          <w:sz w:val="32"/>
          <w:szCs w:val="32"/>
        </w:rPr>
        <w:t>发生的接待支出。</w:t>
      </w:r>
    </w:p>
    <w:p>
      <w:pPr>
        <w:pStyle w:val="15"/>
        <w:ind w:firstLine="640" w:firstLineChars="200"/>
        <w:rPr>
          <w:rFonts w:hint="eastAsia" w:asciiTheme="minorEastAsia" w:hAnsiTheme="minorEastAsia" w:eastAsiaTheme="minorEastAsia"/>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pPr>
        <w:pStyle w:val="15"/>
        <w:rPr>
          <w:rFonts w:hAnsi="黑体"/>
          <w:b/>
          <w:sz w:val="32"/>
          <w:szCs w:val="32"/>
        </w:rPr>
      </w:pPr>
      <w:r>
        <w:rPr>
          <w:rFonts w:hint="eastAsia" w:hAnsi="黑体"/>
          <w:b/>
          <w:sz w:val="32"/>
          <w:szCs w:val="32"/>
        </w:rPr>
        <w:t>八、政府性基金预算收入支出决算情况</w:t>
      </w:r>
    </w:p>
    <w:p>
      <w:pPr>
        <w:pStyle w:val="15"/>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城市基础设施配套费安排的支出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城市公共设施</w:t>
      </w:r>
      <w:r>
        <w:rPr>
          <w:rFonts w:hint="eastAsia" w:asciiTheme="minorEastAsia" w:hAnsiTheme="minorEastAsia" w:eastAsiaTheme="minorEastAsia"/>
          <w:sz w:val="32"/>
          <w:szCs w:val="32"/>
        </w:rPr>
        <w:t>（项）。</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年中追加</w:t>
      </w:r>
      <w:r>
        <w:rPr>
          <w:rFonts w:hint="eastAsia" w:asciiTheme="minorEastAsia" w:hAnsiTheme="minorEastAsia" w:eastAsiaTheme="minorEastAsia"/>
          <w:sz w:val="32"/>
          <w:szCs w:val="32"/>
          <w:lang w:val="en-US" w:eastAsia="zh-CN"/>
        </w:rPr>
        <w:t>1万元。</w:t>
      </w:r>
    </w:p>
    <w:p>
      <w:pPr>
        <w:pStyle w:val="15"/>
        <w:rPr>
          <w:rFonts w:hAnsi="黑体"/>
          <w:b/>
          <w:sz w:val="32"/>
          <w:szCs w:val="32"/>
        </w:rPr>
      </w:pPr>
      <w:r>
        <w:rPr>
          <w:rFonts w:hint="eastAsia" w:hAnsi="黑体"/>
          <w:b/>
          <w:sz w:val="32"/>
          <w:szCs w:val="32"/>
        </w:rPr>
        <w:t>九、机关运行经费支出说明</w:t>
      </w:r>
    </w:p>
    <w:p>
      <w:pPr>
        <w:snapToGrid w:val="0"/>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38.95</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9.42</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19.47</w:t>
      </w:r>
      <w:r>
        <w:rPr>
          <w:rFonts w:hint="eastAsia" w:asciiTheme="minorEastAsia" w:hAnsiTheme="minorEastAsia" w:eastAsiaTheme="minorEastAsia"/>
          <w:sz w:val="32"/>
          <w:szCs w:val="32"/>
        </w:rPr>
        <w:t>%。主要原因是：</w:t>
      </w:r>
      <w:r>
        <w:rPr>
          <w:rFonts w:hint="eastAsia" w:ascii="宋体" w:hAnsi="宋体" w:eastAsia="宋体"/>
          <w:bCs w:val="0"/>
          <w:sz w:val="32"/>
          <w:szCs w:val="32"/>
        </w:rPr>
        <w:t>主要原因是</w:t>
      </w:r>
      <w:r>
        <w:rPr>
          <w:rFonts w:hint="eastAsia" w:ascii="宋体" w:hAnsi="宋体"/>
          <w:sz w:val="32"/>
          <w:szCs w:val="32"/>
        </w:rPr>
        <w:t>削减日常公用经费</w:t>
      </w:r>
      <w:r>
        <w:rPr>
          <w:rFonts w:hint="eastAsia" w:ascii="宋体" w:hAnsi="宋体" w:eastAsia="宋体"/>
          <w:bCs w:val="0"/>
          <w:sz w:val="32"/>
          <w:szCs w:val="32"/>
        </w:rPr>
        <w:t>。</w:t>
      </w:r>
    </w:p>
    <w:p>
      <w:pPr>
        <w:pStyle w:val="15"/>
        <w:rPr>
          <w:rFonts w:hAnsi="黑体"/>
          <w:b/>
          <w:sz w:val="32"/>
          <w:szCs w:val="32"/>
        </w:rPr>
      </w:pPr>
      <w:r>
        <w:rPr>
          <w:rFonts w:hint="eastAsia" w:hAnsi="黑体"/>
          <w:b/>
          <w:sz w:val="32"/>
          <w:szCs w:val="32"/>
        </w:rPr>
        <w:t>十、一般性支出情况说明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2021年会议室使用</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0.046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信息工作</w:t>
      </w:r>
      <w:r>
        <w:rPr>
          <w:rFonts w:hint="eastAsia" w:asciiTheme="minorEastAsia" w:hAnsiTheme="minorEastAsia" w:eastAsiaTheme="minorEastAsia"/>
          <w:sz w:val="32"/>
          <w:szCs w:val="32"/>
        </w:rPr>
        <w:t>培训。</w:t>
      </w:r>
    </w:p>
    <w:p>
      <w:pPr>
        <w:pStyle w:val="15"/>
        <w:rPr>
          <w:rFonts w:hAnsi="黑体"/>
          <w:b/>
          <w:sz w:val="32"/>
          <w:szCs w:val="32"/>
        </w:rPr>
      </w:pPr>
      <w:r>
        <w:rPr>
          <w:rFonts w:hint="eastAsia" w:hAnsi="黑体"/>
          <w:b/>
          <w:sz w:val="32"/>
          <w:szCs w:val="32"/>
        </w:rPr>
        <w:t>十一、政府采购支出说明</w:t>
      </w:r>
    </w:p>
    <w:p>
      <w:pPr>
        <w:pStyle w:val="15"/>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11.57</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highlight w:val="none"/>
        </w:rPr>
        <w:t>元，其中：政府采购货物支出</w:t>
      </w:r>
      <w:r>
        <w:rPr>
          <w:rFonts w:hint="eastAsia" w:asciiTheme="minorEastAsia" w:hAnsiTheme="minorEastAsia" w:eastAsiaTheme="minorEastAsia"/>
          <w:sz w:val="32"/>
          <w:szCs w:val="32"/>
          <w:highlight w:val="none"/>
          <w:lang w:val="en-US" w:eastAsia="zh-CN"/>
        </w:rPr>
        <w:t>11.57</w:t>
      </w:r>
      <w:r>
        <w:rPr>
          <w:rFonts w:hint="eastAsia" w:asciiTheme="minorEastAsia" w:hAnsiTheme="minorEastAsia" w:eastAsiaTheme="minorEastAsia"/>
          <w:sz w:val="32"/>
          <w:szCs w:val="32"/>
          <w:highlight w:val="none"/>
        </w:rPr>
        <w:t>万元。</w:t>
      </w:r>
      <w:r>
        <w:rPr>
          <w:rFonts w:hint="eastAsia" w:ascii="宋体" w:hAnsi="宋体" w:eastAsia="宋体"/>
          <w:sz w:val="32"/>
          <w:szCs w:val="32"/>
          <w:highlight w:val="none"/>
        </w:rPr>
        <w:t>政府采购工程支出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万元、政府采购服务支出</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11.57</w:t>
      </w:r>
      <w:r>
        <w:rPr>
          <w:rFonts w:hint="eastAsia" w:ascii="宋体" w:hAnsi="宋体" w:eastAsia="宋体"/>
          <w:sz w:val="32"/>
          <w:szCs w:val="32"/>
          <w:highlight w:val="none"/>
        </w:rPr>
        <w:t>万元，占政府采购支出总额的</w:t>
      </w:r>
      <w:r>
        <w:rPr>
          <w:rFonts w:hint="eastAsia" w:ascii="宋体" w:hAnsi="宋体" w:eastAsia="宋体"/>
          <w:sz w:val="32"/>
          <w:szCs w:val="32"/>
          <w:highlight w:val="none"/>
          <w:lang w:val="en-US" w:eastAsia="zh-CN"/>
        </w:rPr>
        <w:t>100</w:t>
      </w:r>
      <w:r>
        <w:rPr>
          <w:rFonts w:hint="eastAsia" w:ascii="宋体" w:hAnsi="宋体" w:eastAsia="宋体"/>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11.57</w:t>
      </w:r>
      <w:r>
        <w:rPr>
          <w:rFonts w:hint="eastAsia" w:ascii="宋体" w:hAnsi="宋体" w:eastAsia="宋体"/>
          <w:sz w:val="32"/>
          <w:szCs w:val="32"/>
          <w:highlight w:val="none"/>
        </w:rPr>
        <w:t>万元，占政府采购支出总额的</w:t>
      </w:r>
      <w:r>
        <w:rPr>
          <w:rFonts w:hint="eastAsia" w:ascii="宋体" w:hAnsi="宋体" w:eastAsia="宋体"/>
          <w:sz w:val="32"/>
          <w:szCs w:val="32"/>
          <w:highlight w:val="none"/>
          <w:lang w:val="en-US" w:eastAsia="zh-CN"/>
        </w:rPr>
        <w:t>100</w:t>
      </w:r>
      <w:r>
        <w:rPr>
          <w:rFonts w:hint="eastAsia" w:ascii="宋体" w:hAnsi="宋体" w:eastAsia="宋体"/>
          <w:sz w:val="32"/>
          <w:szCs w:val="32"/>
          <w:highlight w:val="none"/>
        </w:rPr>
        <w:t>%。</w:t>
      </w:r>
    </w:p>
    <w:p>
      <w:pPr>
        <w:pStyle w:val="15"/>
        <w:rPr>
          <w:rFonts w:hAnsi="黑体"/>
          <w:b/>
          <w:sz w:val="32"/>
          <w:szCs w:val="32"/>
          <w:highlight w:val="none"/>
        </w:rPr>
      </w:pPr>
      <w:r>
        <w:rPr>
          <w:rFonts w:hint="eastAsia" w:hAnsi="黑体"/>
          <w:b/>
          <w:sz w:val="32"/>
          <w:szCs w:val="32"/>
          <w:highlight w:val="none"/>
        </w:rPr>
        <w:t>十二、国有资产占用情况说明</w:t>
      </w:r>
    </w:p>
    <w:p>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宋体" w:hAnsi="宋体" w:eastAsia="宋体"/>
          <w:sz w:val="32"/>
          <w:szCs w:val="32"/>
        </w:rPr>
        <w:t>本单位共有车辆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5"/>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snapToGrid w:val="0"/>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益阳市财政局高新区分局《关于做好2021年度预算绩效自评工作的通知》的部署，我单位认真组织进行了2021年部门整体绩效自评工作，形成了《益阳高新区监察室2021年整体绩效自评报告》，并在高新区网站上进行了公示。</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tbl>
      <w:tblPr>
        <w:tblStyle w:val="8"/>
        <w:tblW w:w="10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973" w:hRule="atLeast"/>
        </w:trPr>
        <w:tc>
          <w:tcPr>
            <w:tcW w:w="10460" w:type="dxa"/>
            <w:tcBorders>
              <w:top w:val="nil"/>
              <w:left w:val="nil"/>
              <w:bottom w:val="nil"/>
              <w:right w:val="nil"/>
            </w:tcBorders>
            <w:shd w:val="clear" w:color="auto" w:fill="auto"/>
            <w:vAlign w:val="top"/>
          </w:tcPr>
          <w:p>
            <w:pPr>
              <w:widowControl/>
              <w:jc w:val="left"/>
              <w:rPr>
                <w:rFonts w:hint="eastAsia" w:ascii="宋体" w:hAnsi="宋体" w:eastAsia="宋体" w:cs="宋体"/>
                <w:b/>
                <w:bCs/>
                <w:i w:val="0"/>
                <w:iCs w:val="0"/>
                <w:color w:val="000000"/>
                <w:sz w:val="32"/>
                <w:szCs w:val="32"/>
                <w:u w:val="none"/>
              </w:rPr>
            </w:pPr>
            <w:r>
              <w:rPr>
                <w:rFonts w:ascii="黑体" w:eastAsia="黑体" w:cs="黑体"/>
                <w:color w:val="000000"/>
                <w:kern w:val="0"/>
                <w:sz w:val="70"/>
                <w:szCs w:val="70"/>
              </w:rPr>
              <w:br w:type="page"/>
            </w:r>
            <w:r>
              <w:rPr>
                <w:rStyle w:val="17"/>
                <w:sz w:val="32"/>
                <w:szCs w:val="32"/>
                <w:lang w:val="en-US" w:eastAsia="zh-CN" w:bidi="ar"/>
              </w:rPr>
              <w:t>1、财政拨款收入：指市财政当年拨付的资金。</w:t>
            </w:r>
            <w:r>
              <w:rPr>
                <w:rStyle w:val="17"/>
                <w:sz w:val="32"/>
                <w:szCs w:val="32"/>
                <w:lang w:val="en-US" w:eastAsia="zh-CN" w:bidi="ar"/>
              </w:rPr>
              <w:br w:type="textWrapping"/>
            </w:r>
            <w:r>
              <w:rPr>
                <w:rStyle w:val="17"/>
                <w:sz w:val="32"/>
                <w:szCs w:val="32"/>
                <w:lang w:val="en-US" w:eastAsia="zh-CN" w:bidi="ar"/>
              </w:rPr>
              <w:t>2、其他收入：指除上述“财政拨款收入”、“事业收入”、“经营收入”等以外的收入。主要是按规定动用的售房收入、存款利息收入等。</w:t>
            </w:r>
            <w:r>
              <w:rPr>
                <w:rStyle w:val="17"/>
                <w:sz w:val="32"/>
                <w:szCs w:val="32"/>
                <w:lang w:val="en-US" w:eastAsia="zh-CN" w:bidi="ar"/>
              </w:rPr>
              <w:br w:type="textWrapping"/>
            </w:r>
            <w:r>
              <w:rPr>
                <w:rStyle w:val="17"/>
                <w:sz w:val="32"/>
                <w:szCs w:val="32"/>
                <w:lang w:val="en-US" w:eastAsia="zh-CN" w:bidi="ar"/>
              </w:rPr>
              <w:t>3、年初结转和结余：指以前年度尚未完成、结转到本年按有关规定继续使用的资金。</w:t>
            </w:r>
            <w:r>
              <w:rPr>
                <w:rStyle w:val="17"/>
                <w:sz w:val="32"/>
                <w:szCs w:val="32"/>
                <w:lang w:val="en-US" w:eastAsia="zh-CN" w:bidi="ar"/>
              </w:rPr>
              <w:br w:type="textWrapping"/>
            </w:r>
            <w:r>
              <w:rPr>
                <w:rStyle w:val="17"/>
                <w:sz w:val="32"/>
                <w:szCs w:val="32"/>
                <w:lang w:val="en-US" w:eastAsia="zh-CN" w:bidi="ar"/>
              </w:rPr>
              <w:t>4、年末结转和结余：指本年度或以前年度预算安排、因客观条件发生变化无法按原计划实施，需要延迟到以后年度按有关规定继续使用的资金。</w:t>
            </w:r>
            <w:r>
              <w:rPr>
                <w:rStyle w:val="17"/>
                <w:sz w:val="32"/>
                <w:szCs w:val="32"/>
                <w:lang w:val="en-US" w:eastAsia="zh-CN" w:bidi="ar"/>
              </w:rPr>
              <w:br w:type="textWrapping"/>
            </w:r>
            <w:r>
              <w:rPr>
                <w:rStyle w:val="17"/>
                <w:sz w:val="32"/>
                <w:szCs w:val="32"/>
                <w:lang w:val="en-US" w:eastAsia="zh-CN" w:bidi="ar"/>
              </w:rPr>
              <w:t>5、基本支出：指为保障机构正常运转、完成日常工作任务而发生的人员支出和公用支出。</w:t>
            </w:r>
            <w:r>
              <w:rPr>
                <w:rStyle w:val="17"/>
                <w:sz w:val="32"/>
                <w:szCs w:val="32"/>
                <w:lang w:val="en-US" w:eastAsia="zh-CN" w:bidi="ar"/>
              </w:rPr>
              <w:br w:type="textWrapping"/>
            </w:r>
            <w:r>
              <w:rPr>
                <w:rStyle w:val="17"/>
                <w:sz w:val="32"/>
                <w:szCs w:val="32"/>
                <w:lang w:val="en-US" w:eastAsia="zh-CN" w:bidi="ar"/>
              </w:rPr>
              <w:t>6、项目支出：指在基本支出之外为完成特定行政任务和事业发展目标所发生的支出。</w:t>
            </w:r>
            <w:r>
              <w:rPr>
                <w:rStyle w:val="17"/>
                <w:sz w:val="32"/>
                <w:szCs w:val="32"/>
                <w:lang w:val="en-US" w:eastAsia="zh-CN" w:bidi="ar"/>
              </w:rPr>
              <w:br w:type="textWrapping"/>
            </w:r>
            <w:r>
              <w:rPr>
                <w:rStyle w:val="17"/>
                <w:sz w:val="32"/>
                <w:szCs w:val="32"/>
                <w:lang w:val="en-US" w:eastAsia="zh-CN" w:bidi="ar"/>
              </w:rPr>
              <w:t>7、“三公”经费：纳入财政预决算管理的“三公”经费，是指部门用财政拨款安排的因公出国（境）费、公务用车购置及运行费和公务接待费。其 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17"/>
                <w:sz w:val="32"/>
                <w:szCs w:val="32"/>
                <w:lang w:val="en-US" w:eastAsia="zh-CN" w:bidi="ar"/>
              </w:rPr>
              <w:br w:type="textWrapping"/>
            </w:r>
            <w:r>
              <w:rPr>
                <w:rStyle w:val="17"/>
                <w:sz w:val="32"/>
                <w:szCs w:val="32"/>
                <w:lang w:val="en-US" w:eastAsia="zh-CN" w:bidi="ar"/>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bl>
    <w:p>
      <w:pPr>
        <w:pStyle w:val="15"/>
        <w:jc w:val="both"/>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22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高新区纪工委监工委</w:t>
      </w:r>
    </w:p>
    <w:p>
      <w:pPr>
        <w:spacing w:line="22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2021年度部门整体支出绩效自评报告</w:t>
      </w:r>
    </w:p>
    <w:p>
      <w:pPr>
        <w:spacing w:after="0" w:line="600" w:lineRule="exact"/>
        <w:ind w:firstLine="640" w:firstLineChars="200"/>
        <w:jc w:val="both"/>
        <w:rPr>
          <w:rFonts w:ascii="楷体" w:hAnsi="楷体" w:eastAsia="楷体" w:cs="楷体"/>
          <w:bCs/>
          <w:sz w:val="32"/>
          <w:szCs w:val="32"/>
        </w:rPr>
      </w:pPr>
      <w:r>
        <w:rPr>
          <w:rFonts w:hint="eastAsia" w:ascii="Times New Roman" w:hAnsi="Times New Roman" w:eastAsia="仿宋_GB2312" w:cs="Times New Roman"/>
          <w:sz w:val="32"/>
          <w:szCs w:val="32"/>
        </w:rPr>
        <w:t>根据《高新区财政局关于做好2021年度预算绩效自评工作的通知》（益高财绩</w:t>
      </w:r>
      <w:r>
        <w:rPr>
          <w:rFonts w:hint="eastAsia" w:ascii="仿宋" w:hAnsi="仿宋" w:eastAsia="仿宋" w:cs="Times New Roman"/>
          <w:sz w:val="32"/>
          <w:szCs w:val="32"/>
        </w:rPr>
        <w:t>〔20</w:t>
      </w:r>
      <w:r>
        <w:rPr>
          <w:rFonts w:hint="eastAsia" w:ascii="仿宋" w:hAnsi="仿宋" w:eastAsia="仿宋"/>
          <w:sz w:val="32"/>
          <w:szCs w:val="32"/>
        </w:rPr>
        <w:t>22</w:t>
      </w:r>
      <w:r>
        <w:rPr>
          <w:rFonts w:hint="eastAsia" w:ascii="仿宋" w:hAnsi="仿宋" w:eastAsia="仿宋" w:cs="Times New Roman"/>
          <w:sz w:val="32"/>
          <w:szCs w:val="32"/>
        </w:rPr>
        <w:t>〕</w:t>
      </w:r>
      <w:r>
        <w:rPr>
          <w:rFonts w:hint="eastAsia" w:ascii="仿宋" w:hAnsi="仿宋" w:eastAsia="仿宋"/>
          <w:sz w:val="32"/>
          <w:szCs w:val="32"/>
        </w:rPr>
        <w:t>2</w:t>
      </w:r>
      <w:r>
        <w:rPr>
          <w:rFonts w:hint="eastAsia" w:ascii="仿宋" w:hAnsi="仿宋" w:eastAsia="仿宋" w:cs="Times New Roman"/>
          <w:sz w:val="32"/>
          <w:szCs w:val="32"/>
        </w:rPr>
        <w:t>号</w:t>
      </w:r>
      <w:r>
        <w:rPr>
          <w:rFonts w:hint="eastAsia" w:ascii="仿宋" w:hAnsi="仿宋" w:eastAsia="仿宋"/>
          <w:sz w:val="32"/>
          <w:szCs w:val="32"/>
        </w:rPr>
        <w:t>）</w:t>
      </w:r>
      <w:r>
        <w:rPr>
          <w:rFonts w:hint="eastAsia" w:ascii="Times New Roman" w:hAnsi="Times New Roman" w:eastAsia="仿宋_GB2312" w:cs="Times New Roman"/>
          <w:sz w:val="32"/>
          <w:szCs w:val="32"/>
        </w:rPr>
        <w:t>文件，我委认真组织开展了2021年度预算绩效自评工作。现将部门整体支出绩效评价情况报告如下：</w:t>
      </w:r>
      <w:r>
        <w:rPr>
          <w:rFonts w:ascii="楷体" w:hAnsi="楷体" w:eastAsia="楷体" w:cs="楷体"/>
          <w:bCs/>
          <w:sz w:val="32"/>
          <w:szCs w:val="32"/>
        </w:rPr>
        <w:t xml:space="preserve"> </w:t>
      </w:r>
    </w:p>
    <w:p>
      <w:pPr>
        <w:pStyle w:val="2"/>
        <w:spacing w:after="0" w:line="60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一、基本情况</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（一）部门基本情况</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益阳高新区纪工委监工委是全区监督、监察部门，内设综合科、纪检监察科、审理科，2021年末共有在编人员7人。</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（二）部门整体支出情况</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2021年本单位年初预算</w:t>
      </w:r>
      <w:r>
        <w:rPr>
          <w:rFonts w:ascii="仿宋" w:hAnsi="仿宋" w:eastAsia="仿宋"/>
          <w:sz w:val="32"/>
          <w:szCs w:val="32"/>
        </w:rPr>
        <w:t>1243200</w:t>
      </w:r>
      <w:r>
        <w:rPr>
          <w:rFonts w:hint="eastAsia" w:ascii="仿宋" w:hAnsi="仿宋" w:eastAsia="仿宋"/>
          <w:sz w:val="32"/>
          <w:szCs w:val="32"/>
        </w:rPr>
        <w:t>元，决算收入1554745.5元，其中：一般公共预算财政拨款收入1544752.5元，政府性基金收入</w:t>
      </w:r>
      <w:r>
        <w:rPr>
          <w:rFonts w:hint="eastAsia" w:ascii="仿宋" w:hAnsi="仿宋" w:eastAsia="仿宋" w:cs="Times New Roman"/>
          <w:sz w:val="32"/>
          <w:szCs w:val="32"/>
        </w:rPr>
        <w:t>9993</w:t>
      </w:r>
      <w:r>
        <w:rPr>
          <w:rFonts w:hint="eastAsia" w:ascii="仿宋" w:hAnsi="仿宋" w:eastAsia="仿宋"/>
          <w:sz w:val="32"/>
          <w:szCs w:val="32"/>
        </w:rPr>
        <w:t>元；2021年本单位决算支出1554745.5元，一般公共服务支出</w:t>
      </w:r>
      <w:r>
        <w:rPr>
          <w:rFonts w:ascii="仿宋" w:hAnsi="仿宋" w:eastAsia="仿宋"/>
          <w:sz w:val="32"/>
          <w:szCs w:val="32"/>
        </w:rPr>
        <w:t>1438711.5</w:t>
      </w:r>
      <w:r>
        <w:rPr>
          <w:rFonts w:hint="eastAsia" w:ascii="仿宋" w:hAnsi="仿宋" w:eastAsia="仿宋"/>
          <w:sz w:val="32"/>
          <w:szCs w:val="32"/>
        </w:rPr>
        <w:t>元，城乡社区支出</w:t>
      </w:r>
      <w:r>
        <w:rPr>
          <w:rFonts w:ascii="仿宋" w:hAnsi="仿宋" w:eastAsia="仿宋"/>
          <w:sz w:val="32"/>
          <w:szCs w:val="32"/>
        </w:rPr>
        <w:t>9993</w:t>
      </w:r>
      <w:r>
        <w:rPr>
          <w:rFonts w:hint="eastAsia" w:ascii="仿宋" w:hAnsi="仿宋" w:eastAsia="仿宋"/>
          <w:sz w:val="32"/>
          <w:szCs w:val="32"/>
        </w:rPr>
        <w:t>元，住房保障支出</w:t>
      </w:r>
      <w:r>
        <w:rPr>
          <w:rFonts w:ascii="仿宋" w:hAnsi="仿宋" w:eastAsia="仿宋" w:cs="Times New Roman"/>
          <w:sz w:val="32"/>
          <w:szCs w:val="32"/>
        </w:rPr>
        <w:t>106041</w:t>
      </w:r>
      <w:r>
        <w:rPr>
          <w:rFonts w:hint="eastAsia" w:ascii="仿宋" w:hAnsi="仿宋" w:eastAsia="仿宋" w:cs="Times New Roman"/>
          <w:sz w:val="32"/>
          <w:szCs w:val="32"/>
        </w:rPr>
        <w:t>元，</w:t>
      </w:r>
      <w:r>
        <w:rPr>
          <w:rFonts w:hint="eastAsia" w:ascii="仿宋" w:hAnsi="仿宋" w:eastAsia="仿宋"/>
          <w:sz w:val="32"/>
          <w:szCs w:val="32"/>
        </w:rPr>
        <w:t>收支达到平衡，无年终结转结余。</w:t>
      </w:r>
    </w:p>
    <w:p>
      <w:pPr>
        <w:pStyle w:val="2"/>
        <w:spacing w:after="0" w:line="60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二、部门整体支出绩效目标</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（一）预决算公开情况：2021年按照财政预决算公开的要求，在高新区财政局网站上进行了部门预决算公开。</w:t>
      </w:r>
    </w:p>
    <w:p>
      <w:pPr>
        <w:pStyle w:val="2"/>
        <w:spacing w:after="0" w:line="600" w:lineRule="exact"/>
        <w:ind w:left="0" w:leftChars="0" w:firstLine="640" w:firstLineChars="200"/>
        <w:jc w:val="both"/>
        <w:rPr>
          <w:rFonts w:ascii="仿宋" w:hAnsi="仿宋" w:eastAsia="仿宋"/>
          <w:sz w:val="32"/>
          <w:szCs w:val="32"/>
        </w:rPr>
      </w:pPr>
      <w:r>
        <w:rPr>
          <w:rFonts w:hint="eastAsia" w:ascii="仿宋" w:hAnsi="仿宋" w:eastAsia="仿宋"/>
          <w:sz w:val="32"/>
          <w:szCs w:val="32"/>
        </w:rPr>
        <w:t>（二）“三公”经费控制情况： 2021年度“三公”经费年初预算安排28000元，决算支出8074元，主要为公务接待费支出。严格控制“三公”经费支出，取得了良好效果。</w:t>
      </w:r>
    </w:p>
    <w:p>
      <w:pPr>
        <w:spacing w:after="0" w:line="600" w:lineRule="exact"/>
        <w:ind w:firstLine="630"/>
        <w:jc w:val="both"/>
        <w:rPr>
          <w:rFonts w:ascii="仿宋" w:hAnsi="仿宋" w:eastAsia="仿宋"/>
          <w:sz w:val="32"/>
          <w:szCs w:val="32"/>
        </w:rPr>
      </w:pPr>
      <w:r>
        <w:rPr>
          <w:rFonts w:hint="eastAsia" w:ascii="仿宋" w:hAnsi="仿宋" w:eastAsia="仿宋"/>
          <w:sz w:val="32"/>
          <w:szCs w:val="32"/>
        </w:rPr>
        <w:t>（三）资产管理情况：我单位进一步加强资产管理，严格资产配置、处置等审批管理，做好资产入账工作，按照资产年报、月报的工作要求及时上报本单位资产管理情况，无资产流失现象。</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（四）</w:t>
      </w:r>
      <w:r>
        <w:rPr>
          <w:rFonts w:hint="eastAsia" w:eastAsia="仿宋_GB2312"/>
          <w:bCs/>
          <w:sz w:val="32"/>
          <w:szCs w:val="32"/>
        </w:rPr>
        <w:t>内部管理制度建设情况：积极制定完善内部管理制度，不断完善部门内控体系，</w:t>
      </w:r>
      <w:r>
        <w:rPr>
          <w:rFonts w:hint="eastAsia" w:eastAsia="仿宋_GB2312"/>
          <w:sz w:val="32"/>
          <w:szCs w:val="32"/>
        </w:rPr>
        <w:t>按时完成行政事业单位内部控制报告</w:t>
      </w:r>
      <w:r>
        <w:rPr>
          <w:rFonts w:hint="eastAsia" w:ascii="仿宋" w:hAnsi="仿宋" w:eastAsia="仿宋"/>
          <w:sz w:val="32"/>
          <w:szCs w:val="32"/>
        </w:rPr>
        <w:t>系统填报。</w:t>
      </w:r>
    </w:p>
    <w:p>
      <w:pPr>
        <w:spacing w:after="0" w:line="600" w:lineRule="exact"/>
        <w:ind w:firstLine="640" w:firstLineChars="200"/>
        <w:jc w:val="both"/>
        <w:rPr>
          <w:rFonts w:ascii="仿宋" w:hAnsi="仿宋" w:eastAsia="仿宋"/>
          <w:sz w:val="32"/>
          <w:szCs w:val="32"/>
        </w:rPr>
      </w:pPr>
      <w:r>
        <w:rPr>
          <w:rFonts w:hint="eastAsia" w:ascii="仿宋" w:hAnsi="仿宋" w:eastAsia="仿宋"/>
          <w:sz w:val="32"/>
          <w:szCs w:val="32"/>
        </w:rPr>
        <w:t>（五）绩效总目标完成情况：在区工委、管委会的正确领导下。我委以求真务实的态度，清正廉洁的作风，认真履行职责，较好的完成了本年度各项工作任务。</w:t>
      </w:r>
    </w:p>
    <w:p>
      <w:pPr>
        <w:pStyle w:val="2"/>
        <w:spacing w:after="0" w:line="60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三、绩效评价工作情况</w:t>
      </w:r>
    </w:p>
    <w:p>
      <w:pPr>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绩效评价的要求，我委成立了绩效自评工作领导小组，按照自评方案，对照各项工作内容逐条逐项自评。撰写部门整体支出绩效自评报告，在自评过程注重发现问题，查找分析原因，总结经验教训，研究应对措施及时纠偏，做到更加科学合理地使用财政资金，提高资金使用效益。</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四、主要绩效及评价结论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bCs/>
          <w:sz w:val="32"/>
          <w:szCs w:val="32"/>
        </w:rPr>
      </w:pPr>
      <w:r>
        <w:rPr>
          <w:rFonts w:hint="eastAsia" w:ascii="仿宋" w:hAnsi="仿宋" w:eastAsia="仿宋" w:cs="Times New Roman"/>
          <w:bCs/>
          <w:sz w:val="32"/>
          <w:szCs w:val="32"/>
        </w:rPr>
        <w:t>（一）主要绩效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bCs/>
          <w:sz w:val="32"/>
          <w:szCs w:val="32"/>
        </w:rPr>
      </w:pPr>
      <w:r>
        <w:rPr>
          <w:rFonts w:hint="eastAsia" w:ascii="仿宋" w:hAnsi="仿宋" w:eastAsia="仿宋" w:cs="Times New Roman"/>
          <w:bCs/>
          <w:sz w:val="32"/>
          <w:szCs w:val="32"/>
        </w:rPr>
        <w:t>1.</w:t>
      </w:r>
      <w:r>
        <w:rPr>
          <w:rFonts w:ascii="仿宋" w:hAnsi="仿宋" w:eastAsia="仿宋" w:cs="Times New Roman"/>
          <w:bCs/>
          <w:sz w:val="32"/>
          <w:szCs w:val="32"/>
        </w:rPr>
        <w:t>征地拆迁领域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组织全区387名拆迁工作人员签订了规范征地拆迁安置工作责任状，</w:t>
      </w:r>
      <w:r>
        <w:rPr>
          <w:rFonts w:hint="eastAsia" w:ascii="仿宋" w:hAnsi="仿宋" w:eastAsia="仿宋" w:cs="Times New Roman"/>
          <w:sz w:val="32"/>
          <w:szCs w:val="32"/>
        </w:rPr>
        <w:t>7个职能部门开展自查自纠，整改问题59个。查处虚报冒领青苗补偿款的问题线索27条，政务处分3人，党纪立案2人，</w:t>
      </w:r>
      <w:r>
        <w:rPr>
          <w:rFonts w:ascii="仿宋" w:hAnsi="仿宋" w:eastAsia="仿宋" w:cs="Times New Roman"/>
          <w:sz w:val="32"/>
          <w:szCs w:val="32"/>
        </w:rPr>
        <w:t>7名党员干部主动向组织交代问题，8名抢栽群众主动退回骗取的补偿款65万元</w:t>
      </w:r>
      <w:r>
        <w:rPr>
          <w:rFonts w:hint="eastAsia" w:ascii="仿宋" w:hAnsi="仿宋" w:eastAsia="仿宋" w:cs="Times New Roman"/>
          <w:sz w:val="32"/>
          <w:szCs w:val="32"/>
        </w:rPr>
        <w:t>，移送起诉5人。</w:t>
      </w:r>
    </w:p>
    <w:p>
      <w:pPr>
        <w:keepNext w:val="0"/>
        <w:keepLines w:val="0"/>
        <w:pageBreakBefore w:val="0"/>
        <w:widowControl w:val="0"/>
        <w:kinsoku/>
        <w:wordWrap/>
        <w:overflowPunct/>
        <w:topLinePunct w:val="0"/>
        <w:autoSpaceDE/>
        <w:autoSpaceDN/>
        <w:bidi w:val="0"/>
        <w:adjustRightInd/>
        <w:snapToGrid/>
        <w:spacing w:after="0" w:line="580" w:lineRule="exact"/>
        <w:ind w:firstLine="627" w:firstLineChars="196"/>
        <w:jc w:val="both"/>
        <w:textAlignment w:val="auto"/>
        <w:rPr>
          <w:rFonts w:ascii="仿宋" w:hAnsi="仿宋" w:eastAsia="仿宋" w:cs="Times New Roman"/>
          <w:bCs/>
          <w:sz w:val="32"/>
        </w:rPr>
      </w:pPr>
      <w:r>
        <w:rPr>
          <w:rFonts w:hint="eastAsia" w:ascii="仿宋" w:hAnsi="仿宋" w:eastAsia="仿宋" w:cs="Times New Roman"/>
          <w:bCs/>
          <w:sz w:val="32"/>
        </w:rPr>
        <w:t>2.</w:t>
      </w:r>
      <w:r>
        <w:rPr>
          <w:rFonts w:ascii="仿宋" w:hAnsi="仿宋" w:eastAsia="仿宋" w:cs="Times New Roman"/>
          <w:bCs/>
          <w:sz w:val="32"/>
        </w:rPr>
        <w:t>工程建设项目领域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rPr>
      </w:pPr>
      <w:r>
        <w:rPr>
          <w:rFonts w:ascii="仿宋" w:hAnsi="仿宋" w:eastAsia="仿宋" w:cs="Times New Roman"/>
          <w:sz w:val="32"/>
          <w:szCs w:val="32"/>
        </w:rPr>
        <w:t>组织236名建设一线工作人员签订规范工程建设行为承诺书。</w:t>
      </w:r>
      <w:r>
        <w:rPr>
          <w:rFonts w:hint="eastAsia" w:ascii="仿宋" w:hAnsi="仿宋" w:eastAsia="仿宋" w:cs="Times New Roman"/>
          <w:sz w:val="32"/>
          <w:szCs w:val="32"/>
        </w:rPr>
        <w:t>处置招投标问题线索37条，开除工作人员1名，政务警告处分2人，组织处理3人，向财政部门移送评审专家问题线索2条，公安部门采取刑事强制措施5人，对</w:t>
      </w:r>
      <w:r>
        <w:rPr>
          <w:rFonts w:ascii="仿宋" w:hAnsi="仿宋" w:eastAsia="仿宋" w:cs="Times New Roman"/>
          <w:sz w:val="32"/>
          <w:szCs w:val="32"/>
        </w:rPr>
        <w:t>项目建设竣工验收把关不严、工程建设质量监管不到位的，问责9人</w:t>
      </w:r>
      <w:r>
        <w:rPr>
          <w:rFonts w:hint="eastAsia" w:ascii="仿宋" w:hAnsi="仿宋" w:eastAsia="仿宋" w:cs="Times New Roman"/>
          <w:sz w:val="32"/>
          <w:szCs w:val="32"/>
        </w:rPr>
        <w:t>。对招投标串标行为给予行政处罚30余万元。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bCs/>
          <w:sz w:val="32"/>
        </w:rPr>
      </w:pPr>
      <w:r>
        <w:rPr>
          <w:rFonts w:hint="eastAsia" w:ascii="仿宋" w:hAnsi="仿宋" w:eastAsia="仿宋" w:cs="Times New Roman"/>
          <w:bCs/>
          <w:sz w:val="32"/>
        </w:rPr>
        <w:t>3.行政效能治理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rPr>
      </w:pPr>
      <w:r>
        <w:rPr>
          <w:rFonts w:hint="eastAsia" w:ascii="仿宋" w:hAnsi="仿宋" w:eastAsia="仿宋" w:cs="Times New Roman"/>
          <w:sz w:val="32"/>
          <w:szCs w:val="32"/>
        </w:rPr>
        <w:t>严格</w:t>
      </w:r>
      <w:r>
        <w:rPr>
          <w:rFonts w:ascii="仿宋" w:hAnsi="仿宋" w:eastAsia="仿宋" w:cs="Times New Roman"/>
          <w:sz w:val="32"/>
          <w:szCs w:val="32"/>
        </w:rPr>
        <w:t>落实中央八项规定精神</w:t>
      </w:r>
      <w:r>
        <w:rPr>
          <w:rFonts w:hint="eastAsia" w:ascii="仿宋" w:hAnsi="仿宋" w:eastAsia="仿宋" w:cs="Times New Roman"/>
          <w:sz w:val="32"/>
        </w:rPr>
        <w:t>，</w:t>
      </w:r>
      <w:r>
        <w:rPr>
          <w:rFonts w:ascii="仿宋" w:hAnsi="仿宋" w:eastAsia="仿宋" w:cs="Times New Roman"/>
          <w:sz w:val="32"/>
          <w:szCs w:val="32"/>
        </w:rPr>
        <w:t>发现问题线索37条，党纪处分2人，问责3人</w:t>
      </w:r>
      <w:r>
        <w:rPr>
          <w:rFonts w:hint="eastAsia" w:ascii="仿宋" w:hAnsi="仿宋" w:eastAsia="仿宋" w:cs="Times New Roman"/>
          <w:sz w:val="32"/>
          <w:szCs w:val="32"/>
        </w:rPr>
        <w:t>。开展“营商环境大优化，作风建设大提升”活动，开展专项监督检查3次，推动问题整改9个。对工作推拖躲、进度严重滞后的部门和个人，</w:t>
      </w:r>
      <w:r>
        <w:rPr>
          <w:rFonts w:ascii="仿宋" w:hAnsi="仿宋" w:eastAsia="仿宋" w:cs="Times New Roman"/>
          <w:sz w:val="32"/>
          <w:szCs w:val="32"/>
        </w:rPr>
        <w:t>党纪处分1人，问责3人 。</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bCs/>
          <w:sz w:val="32"/>
        </w:rPr>
      </w:pPr>
      <w:r>
        <w:rPr>
          <w:rFonts w:hint="eastAsia" w:ascii="仿宋" w:hAnsi="仿宋" w:eastAsia="仿宋" w:cs="Times New Roman"/>
          <w:bCs/>
          <w:sz w:val="32"/>
        </w:rPr>
        <w:t>4.民生领域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全年接待信访群众67批次135人，办结信访件54件。全区建立小微权力“监督一点通”微信网格群236个，全年办理诉求2014件，纪检机关开展诉求督办56次，群众满意度为91.73%。</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紧盯低保养老、公租房、征收提留款使用等民生领域，发现问题线索11条，党纪处分1人，发出监察建议书1份</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紧盯</w:t>
      </w:r>
      <w:r>
        <w:rPr>
          <w:rFonts w:hint="eastAsia" w:ascii="仿宋" w:hAnsi="仿宋" w:eastAsia="仿宋" w:cs="Times New Roman"/>
          <w:sz w:val="32"/>
          <w:szCs w:val="32"/>
        </w:rPr>
        <w:t>惠农惠民、医保等领域，</w:t>
      </w:r>
      <w:r>
        <w:rPr>
          <w:rFonts w:ascii="仿宋" w:hAnsi="仿宋" w:eastAsia="仿宋" w:cs="Times New Roman"/>
          <w:sz w:val="32"/>
          <w:szCs w:val="32"/>
        </w:rPr>
        <w:t>督促区医保中心核查问题线索2条，退回医保基金1.44万元</w:t>
      </w:r>
      <w:r>
        <w:rPr>
          <w:rFonts w:hint="eastAsia" w:ascii="仿宋" w:hAnsi="仿宋" w:eastAsia="仿宋" w:cs="Times New Roman"/>
          <w:sz w:val="32"/>
          <w:szCs w:val="32"/>
        </w:rPr>
        <w:t>，</w:t>
      </w:r>
      <w:r>
        <w:rPr>
          <w:rFonts w:ascii="仿宋" w:hAnsi="仿宋" w:eastAsia="仿宋" w:cs="Times New Roman"/>
          <w:sz w:val="32"/>
          <w:szCs w:val="32"/>
        </w:rPr>
        <w:t>对2018年以来通过“一卡通”发放的惠民惠农资金项目80个共计1.24亿元进行复核，发现问题线索48条，追回多领取资金9700元。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加强对群众密切关注的高层安置房分配、违法建筑执法、农村合作社资产管理、股金分红等领域的纪律监管，发现问题13个，推动健全制度办法3个。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（二）评价结论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我们根据《高新区财政局关于做好2021年度预算绩效自评工作的通知》（益高财绩〔2022〕2号）文件的有关要求，对我委2021年度整体支出进行了综合评分，2021年部门整体支出绩效评价指标总分值100分，实得97分。</w:t>
      </w:r>
    </w:p>
    <w:p/>
    <w:p>
      <w:pPr>
        <w:spacing w:after="0" w:line="600" w:lineRule="exact"/>
        <w:jc w:val="right"/>
        <w:rPr>
          <w:rFonts w:ascii="仿宋" w:hAnsi="仿宋" w:eastAsia="仿宋" w:cs="Times New Roman"/>
          <w:sz w:val="32"/>
          <w:szCs w:val="32"/>
        </w:rPr>
      </w:pPr>
      <w:r>
        <w:rPr>
          <w:rFonts w:hint="eastAsia" w:ascii="仿宋" w:hAnsi="仿宋" w:eastAsia="仿宋" w:cs="Times New Roman"/>
          <w:sz w:val="32"/>
          <w:szCs w:val="32"/>
        </w:rPr>
        <w:t>益阳高新区纪工委监工委                                                               2022年6月30日</w:t>
      </w:r>
    </w:p>
    <w:p>
      <w:pPr>
        <w:pStyle w:val="2"/>
        <w:ind w:left="440"/>
      </w:pPr>
    </w:p>
    <w:p/>
    <w:p>
      <w:pPr>
        <w:spacing w:line="360" w:lineRule="auto"/>
        <w:jc w:val="center"/>
        <w:rPr>
          <w:rFonts w:ascii="方正小标宋简体" w:hAnsi="黑体" w:eastAsia="方正小标宋简体"/>
          <w:bCs/>
          <w:sz w:val="36"/>
          <w:szCs w:val="36"/>
        </w:rPr>
      </w:pPr>
      <w:r>
        <w:rPr>
          <w:rFonts w:hint="eastAsia" w:ascii="方正小标宋简体" w:hAnsi="黑体" w:eastAsia="方正小标宋简体" w:cs="方正小标宋简体"/>
          <w:bCs/>
          <w:sz w:val="36"/>
          <w:szCs w:val="36"/>
        </w:rPr>
        <w:t>2021年度部门整体支出绩效自评表</w:t>
      </w:r>
    </w:p>
    <w:tbl>
      <w:tblPr>
        <w:tblStyle w:val="8"/>
        <w:tblW w:w="8820" w:type="dxa"/>
        <w:jc w:val="center"/>
        <w:tblLayout w:type="fixed"/>
        <w:tblCellMar>
          <w:top w:w="0" w:type="dxa"/>
          <w:left w:w="108" w:type="dxa"/>
          <w:bottom w:w="0" w:type="dxa"/>
          <w:right w:w="108" w:type="dxa"/>
        </w:tblCellMar>
      </w:tblPr>
      <w:tblGrid>
        <w:gridCol w:w="682"/>
        <w:gridCol w:w="850"/>
        <w:gridCol w:w="993"/>
        <w:gridCol w:w="2413"/>
        <w:gridCol w:w="3257"/>
        <w:gridCol w:w="625"/>
      </w:tblGrid>
      <w:tr>
        <w:tblPrEx>
          <w:tblCellMar>
            <w:top w:w="0" w:type="dxa"/>
            <w:left w:w="108" w:type="dxa"/>
            <w:bottom w:w="0" w:type="dxa"/>
            <w:right w:w="108" w:type="dxa"/>
          </w:tblCellMar>
        </w:tblPrEx>
        <w:trPr>
          <w:tblHeader/>
          <w:jc w:val="center"/>
        </w:trPr>
        <w:tc>
          <w:tcPr>
            <w:tcW w:w="6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一级指标</w:t>
            </w: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二级</w:t>
            </w:r>
          </w:p>
          <w:p>
            <w:pPr>
              <w:jc w:val="center"/>
              <w:rPr>
                <w:rFonts w:ascii="仿宋" w:hAnsi="仿宋" w:eastAsia="仿宋" w:cs="宋体"/>
                <w:sz w:val="20"/>
                <w:szCs w:val="20"/>
              </w:rPr>
            </w:pPr>
            <w:r>
              <w:rPr>
                <w:rFonts w:hint="eastAsia" w:ascii="仿宋" w:hAnsi="仿宋" w:eastAsia="仿宋" w:cs="宋体"/>
                <w:sz w:val="20"/>
                <w:szCs w:val="20"/>
              </w:rPr>
              <w:t>指标</w:t>
            </w: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三级</w:t>
            </w:r>
          </w:p>
          <w:p>
            <w:pPr>
              <w:jc w:val="center"/>
              <w:rPr>
                <w:rFonts w:ascii="仿宋" w:hAnsi="仿宋" w:eastAsia="仿宋" w:cs="宋体"/>
                <w:sz w:val="20"/>
                <w:szCs w:val="20"/>
              </w:rPr>
            </w:pPr>
            <w:r>
              <w:rPr>
                <w:rFonts w:hint="eastAsia" w:ascii="仿宋" w:hAnsi="仿宋" w:eastAsia="仿宋" w:cs="宋体"/>
                <w:sz w:val="20"/>
                <w:szCs w:val="20"/>
              </w:rPr>
              <w:t>指标</w:t>
            </w:r>
          </w:p>
        </w:tc>
        <w:tc>
          <w:tcPr>
            <w:tcW w:w="241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指标解释</w:t>
            </w:r>
          </w:p>
        </w:tc>
        <w:tc>
          <w:tcPr>
            <w:tcW w:w="325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指标说明</w:t>
            </w:r>
          </w:p>
        </w:tc>
        <w:tc>
          <w:tcPr>
            <w:tcW w:w="6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自评得分</w:t>
            </w:r>
          </w:p>
        </w:tc>
      </w:tr>
      <w:tr>
        <w:tblPrEx>
          <w:tblCellMar>
            <w:top w:w="0" w:type="dxa"/>
            <w:left w:w="108" w:type="dxa"/>
            <w:bottom w:w="0" w:type="dxa"/>
            <w:right w:w="108" w:type="dxa"/>
          </w:tblCellMar>
        </w:tblPrEx>
        <w:trPr>
          <w:trHeight w:val="1764" w:hRule="atLeast"/>
          <w:jc w:val="center"/>
        </w:trPr>
        <w:tc>
          <w:tcPr>
            <w:tcW w:w="682" w:type="dxa"/>
            <w:vMerge w:val="restart"/>
            <w:tcBorders>
              <w:top w:val="nil"/>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r>
              <w:rPr>
                <w:rFonts w:hint="eastAsia" w:ascii="仿宋" w:hAnsi="仿宋" w:eastAsia="仿宋" w:cs="宋体"/>
                <w:sz w:val="20"/>
                <w:szCs w:val="20"/>
              </w:rPr>
              <w:t>投入（20分）</w:t>
            </w:r>
          </w:p>
        </w:tc>
        <w:tc>
          <w:tcPr>
            <w:tcW w:w="850" w:type="dxa"/>
            <w:vMerge w:val="restart"/>
            <w:tcBorders>
              <w:top w:val="nil"/>
              <w:left w:val="nil"/>
              <w:bottom w:val="single" w:color="auto" w:sz="4" w:space="0"/>
              <w:right w:val="single" w:color="auto" w:sz="4" w:space="0"/>
            </w:tcBorders>
            <w:vAlign w:val="center"/>
          </w:tcPr>
          <w:p>
            <w:pPr>
              <w:spacing w:line="260" w:lineRule="exact"/>
              <w:jc w:val="center"/>
              <w:rPr>
                <w:rFonts w:ascii="仿宋" w:hAnsi="仿宋" w:eastAsia="仿宋" w:cs="宋体"/>
                <w:sz w:val="20"/>
                <w:szCs w:val="20"/>
              </w:rPr>
            </w:pPr>
            <w:r>
              <w:rPr>
                <w:rFonts w:hint="eastAsia" w:ascii="仿宋" w:hAnsi="仿宋" w:eastAsia="仿宋" w:cs="宋体"/>
                <w:sz w:val="20"/>
                <w:szCs w:val="20"/>
              </w:rPr>
              <w:t>目标</w:t>
            </w:r>
          </w:p>
          <w:p>
            <w:pPr>
              <w:spacing w:line="260" w:lineRule="exact"/>
              <w:jc w:val="center"/>
              <w:rPr>
                <w:rFonts w:ascii="仿宋" w:hAnsi="仿宋" w:eastAsia="仿宋" w:cs="宋体"/>
                <w:sz w:val="20"/>
                <w:szCs w:val="20"/>
              </w:rPr>
            </w:pPr>
            <w:r>
              <w:rPr>
                <w:rFonts w:hint="eastAsia" w:ascii="仿宋" w:hAnsi="仿宋" w:eastAsia="仿宋" w:cs="宋体"/>
                <w:sz w:val="20"/>
                <w:szCs w:val="20"/>
              </w:rPr>
              <w:t>设定</w:t>
            </w:r>
          </w:p>
          <w:p>
            <w:pPr>
              <w:spacing w:line="260" w:lineRule="exact"/>
              <w:jc w:val="center"/>
              <w:rPr>
                <w:rFonts w:ascii="仿宋" w:hAnsi="仿宋" w:eastAsia="仿宋" w:cs="宋体"/>
                <w:sz w:val="20"/>
                <w:szCs w:val="20"/>
              </w:rPr>
            </w:pPr>
            <w:r>
              <w:rPr>
                <w:rFonts w:hint="eastAsia" w:ascii="仿宋" w:hAnsi="仿宋" w:eastAsia="仿宋" w:cs="宋体"/>
                <w:sz w:val="20"/>
                <w:szCs w:val="20"/>
              </w:rPr>
              <w:t>（5分）</w:t>
            </w:r>
          </w:p>
          <w:p>
            <w:pPr>
              <w:jc w:val="center"/>
              <w:rPr>
                <w:rFonts w:ascii="仿宋" w:hAnsi="仿宋" w:eastAsia="仿宋" w:cs="宋体"/>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绩效目标合理性（2分）</w:t>
            </w:r>
          </w:p>
          <w:p>
            <w:pPr>
              <w:rPr>
                <w:rFonts w:ascii="仿宋" w:hAnsi="仿宋" w:eastAsia="仿宋" w:cs="宋体"/>
                <w:sz w:val="20"/>
                <w:szCs w:val="20"/>
              </w:rPr>
            </w:pPr>
          </w:p>
        </w:tc>
        <w:tc>
          <w:tcPr>
            <w:tcW w:w="2413" w:type="dxa"/>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部门所设立的整体绩效目标依据是否充分，是否符合客观实际，用以反映和考核部门整体绩效目标与部门履职、年度工作任务的相符性情况。</w:t>
            </w:r>
          </w:p>
        </w:tc>
        <w:tc>
          <w:tcPr>
            <w:tcW w:w="3257" w:type="dxa"/>
            <w:tcBorders>
              <w:top w:val="nil"/>
              <w:left w:val="single" w:color="auto" w:sz="4" w:space="0"/>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①符合国家法律法规、国民经济和社会发展总体规划计1分；②符合部门“三定”方案确定的职责计0.5分；③是否符合部门制定的中长期实施规划计0.5分。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832"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nil"/>
              <w:left w:val="nil"/>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绩效指标明确性（3分）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部门依据整体绩效目标所设定的绩效指标是否清晰、细化、可衡量，用以反映和考核部门整体绩效目标的明细化情况。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①将部门整体的绩效目标细化分解为具体的工作任务计1分；②通过清晰、可衡量的指标值予以体现计0.5分。③与部门年度的任务数或计划数相对应计0.5分；④与本年度部门预算资金相匹配计1分。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3</w:t>
            </w:r>
          </w:p>
        </w:tc>
      </w:tr>
      <w:tr>
        <w:tblPrEx>
          <w:tblCellMar>
            <w:top w:w="0" w:type="dxa"/>
            <w:left w:w="108" w:type="dxa"/>
            <w:bottom w:w="0" w:type="dxa"/>
            <w:right w:w="108" w:type="dxa"/>
          </w:tblCellMar>
        </w:tblPrEx>
        <w:trPr>
          <w:trHeight w:val="2128"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restart"/>
            <w:tcBorders>
              <w:top w:val="nil"/>
              <w:left w:val="nil"/>
              <w:right w:val="single" w:color="auto" w:sz="4" w:space="0"/>
            </w:tcBorders>
            <w:vAlign w:val="center"/>
          </w:tcPr>
          <w:p>
            <w:pPr>
              <w:spacing w:line="260" w:lineRule="exact"/>
              <w:jc w:val="center"/>
              <w:rPr>
                <w:rFonts w:ascii="仿宋" w:hAnsi="仿宋" w:eastAsia="仿宋"/>
                <w:sz w:val="20"/>
                <w:szCs w:val="20"/>
              </w:rPr>
            </w:pPr>
            <w:r>
              <w:rPr>
                <w:rFonts w:hint="eastAsia" w:ascii="仿宋" w:hAnsi="仿宋" w:eastAsia="仿宋" w:cs="宋体"/>
                <w:sz w:val="20"/>
                <w:szCs w:val="20"/>
              </w:rPr>
              <w:t>预算</w:t>
            </w:r>
            <w:r>
              <w:rPr>
                <w:rFonts w:hint="eastAsia" w:ascii="仿宋" w:hAnsi="仿宋" w:eastAsia="仿宋" w:cs="宋体"/>
                <w:sz w:val="20"/>
                <w:szCs w:val="20"/>
              </w:rPr>
              <w:br w:type="textWrapping"/>
            </w:r>
            <w:r>
              <w:rPr>
                <w:rFonts w:hint="eastAsia" w:ascii="仿宋" w:hAnsi="仿宋" w:eastAsia="仿宋" w:cs="宋体"/>
                <w:sz w:val="20"/>
                <w:szCs w:val="20"/>
              </w:rPr>
              <w:t>配置</w:t>
            </w:r>
            <w:r>
              <w:rPr>
                <w:rFonts w:hint="eastAsia" w:ascii="仿宋" w:hAnsi="仿宋" w:eastAsia="仿宋" w:cs="宋体"/>
                <w:spacing w:val="-20"/>
                <w:sz w:val="20"/>
                <w:szCs w:val="20"/>
              </w:rPr>
              <w:t>（15分）</w:t>
            </w: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在职人员控制率（5分）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部门本年度实际在职人员数与编制数的比率，用以反映和考核部门对人员成本的控制程度。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trHeight w:val="2669"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nil"/>
              <w:right w:val="single" w:color="auto" w:sz="4" w:space="0"/>
            </w:tcBorders>
            <w:vAlign w:val="center"/>
          </w:tcPr>
          <w:p>
            <w:pPr>
              <w:spacing w:line="260" w:lineRule="exact"/>
              <w:jc w:val="center"/>
              <w:rPr>
                <w:rFonts w:ascii="仿宋" w:hAnsi="仿宋" w:eastAsia="仿宋" w:cs="宋体"/>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重点支出安排率（5分）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部门本年度预算安排的重点项目支出与部门项目总支出的比率，用以反映和考核部门对履行主要职责或完成重点任务的保障程度。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5</w:t>
            </w:r>
          </w:p>
        </w:tc>
      </w:tr>
      <w:tr>
        <w:tblPrEx>
          <w:tblCellMar>
            <w:top w:w="0" w:type="dxa"/>
            <w:left w:w="108" w:type="dxa"/>
            <w:bottom w:w="0" w:type="dxa"/>
            <w:right w:w="108" w:type="dxa"/>
          </w:tblCellMar>
        </w:tblPrEx>
        <w:trPr>
          <w:trHeight w:val="2410" w:hRule="atLeast"/>
          <w:jc w:val="center"/>
        </w:trPr>
        <w:tc>
          <w:tcPr>
            <w:tcW w:w="682" w:type="dxa"/>
            <w:vMerge w:val="continue"/>
            <w:tcBorders>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nil"/>
              <w:bottom w:val="single" w:color="auto" w:sz="4" w:space="0"/>
              <w:right w:val="single" w:color="auto" w:sz="4" w:space="0"/>
            </w:tcBorders>
            <w:vAlign w:val="center"/>
          </w:tcPr>
          <w:p>
            <w:pPr>
              <w:spacing w:line="260" w:lineRule="exact"/>
              <w:jc w:val="center"/>
              <w:rPr>
                <w:rFonts w:ascii="仿宋" w:hAnsi="仿宋" w:eastAsia="仿宋" w:cs="宋体"/>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“三公经费”变动率（5分）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部门本年度“三公经费”预算数与上年度“三公经费”预算数的变动比率，用以反映和考核部门对控制重点行政成本的努力程度。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5</w:t>
            </w:r>
          </w:p>
        </w:tc>
      </w:tr>
      <w:tr>
        <w:tblPrEx>
          <w:tblCellMar>
            <w:top w:w="0" w:type="dxa"/>
            <w:left w:w="108" w:type="dxa"/>
            <w:bottom w:w="0" w:type="dxa"/>
            <w:right w:w="108" w:type="dxa"/>
          </w:tblCellMar>
        </w:tblPrEx>
        <w:trPr>
          <w:trHeight w:val="1413" w:hRule="atLeast"/>
          <w:jc w:val="center"/>
        </w:trPr>
        <w:tc>
          <w:tcPr>
            <w:tcW w:w="682" w:type="dxa"/>
            <w:vMerge w:val="restart"/>
            <w:tcBorders>
              <w:top w:val="nil"/>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r>
              <w:rPr>
                <w:rFonts w:hint="eastAsia" w:ascii="仿宋" w:hAnsi="仿宋" w:eastAsia="仿宋" w:cs="宋体"/>
                <w:sz w:val="20"/>
                <w:szCs w:val="20"/>
              </w:rPr>
              <w:t>过程（30分）</w:t>
            </w:r>
          </w:p>
        </w:tc>
        <w:tc>
          <w:tcPr>
            <w:tcW w:w="850" w:type="dxa"/>
            <w:vMerge w:val="restart"/>
            <w:tcBorders>
              <w:top w:val="nil"/>
              <w:left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预算</w:t>
            </w:r>
          </w:p>
          <w:p>
            <w:pPr>
              <w:jc w:val="center"/>
              <w:rPr>
                <w:rFonts w:ascii="仿宋" w:hAnsi="仿宋" w:eastAsia="仿宋" w:cs="宋体"/>
                <w:sz w:val="20"/>
                <w:szCs w:val="20"/>
              </w:rPr>
            </w:pPr>
            <w:r>
              <w:rPr>
                <w:rFonts w:hint="eastAsia" w:ascii="仿宋" w:hAnsi="仿宋" w:eastAsia="仿宋" w:cs="宋体"/>
                <w:sz w:val="20"/>
                <w:szCs w:val="20"/>
              </w:rPr>
              <w:t>执行</w:t>
            </w:r>
            <w:r>
              <w:rPr>
                <w:rFonts w:hint="eastAsia" w:ascii="仿宋" w:hAnsi="仿宋" w:eastAsia="仿宋" w:cs="宋体"/>
                <w:spacing w:val="-20"/>
                <w:sz w:val="20"/>
                <w:szCs w:val="20"/>
              </w:rPr>
              <w:t>（20分）</w:t>
            </w: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预算完成率</w:t>
            </w:r>
          </w:p>
          <w:p>
            <w:pPr>
              <w:rPr>
                <w:rFonts w:ascii="仿宋" w:hAnsi="仿宋" w:eastAsia="仿宋" w:cs="宋体"/>
                <w:sz w:val="20"/>
                <w:szCs w:val="20"/>
              </w:rPr>
            </w:pPr>
            <w:r>
              <w:rPr>
                <w:rFonts w:hint="eastAsia" w:ascii="仿宋" w:hAnsi="仿宋" w:eastAsia="仿宋" w:cs="宋体"/>
                <w:sz w:val="20"/>
                <w:szCs w:val="20"/>
              </w:rPr>
              <w:t>（4分）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部门本年度预算完成数与预算数的比率，用以反映和考核部门预算完成程度。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预算完成率=（预算完成数/预算数）×100%。完成年初预算计4分，未完成年初预算按比例扣减，预算完成数：部门本年度实际完成的预算数。预算数：财政部门批复的本年度部门预算数。</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trHeight w:val="1771"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预算调整率</w:t>
            </w:r>
          </w:p>
          <w:p>
            <w:pPr>
              <w:rPr>
                <w:rFonts w:ascii="仿宋" w:hAnsi="仿宋" w:eastAsia="仿宋" w:cs="宋体"/>
                <w:sz w:val="20"/>
                <w:szCs w:val="20"/>
              </w:rPr>
            </w:pPr>
            <w:r>
              <w:rPr>
                <w:rFonts w:hint="eastAsia" w:ascii="仿宋" w:hAnsi="仿宋" w:eastAsia="仿宋" w:cs="宋体"/>
                <w:sz w:val="20"/>
                <w:szCs w:val="20"/>
              </w:rPr>
              <w:t>（2分）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部门本年度预算调整数与预算数的比率，用以反映和考核部门预算的调整程度。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1.5</w:t>
            </w:r>
          </w:p>
        </w:tc>
      </w:tr>
      <w:tr>
        <w:tblPrEx>
          <w:tblCellMar>
            <w:top w:w="0" w:type="dxa"/>
            <w:left w:w="108" w:type="dxa"/>
            <w:bottom w:w="0" w:type="dxa"/>
            <w:right w:w="108" w:type="dxa"/>
          </w:tblCellMar>
        </w:tblPrEx>
        <w:trPr>
          <w:trHeight w:val="1441"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支付进度率</w:t>
            </w:r>
          </w:p>
          <w:p>
            <w:pPr>
              <w:rPr>
                <w:rFonts w:ascii="仿宋" w:hAnsi="仿宋" w:eastAsia="仿宋" w:cs="宋体"/>
                <w:sz w:val="20"/>
                <w:szCs w:val="20"/>
              </w:rPr>
            </w:pPr>
            <w:r>
              <w:rPr>
                <w:rFonts w:hint="eastAsia" w:ascii="仿宋" w:hAnsi="仿宋" w:eastAsia="仿宋" w:cs="宋体"/>
                <w:sz w:val="20"/>
                <w:szCs w:val="20"/>
              </w:rPr>
              <w:t>（2分）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部门实际支付进度与既定支付进度的比率，用以反映和考核部门预算执行的及时性和均衡性程度。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609"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结转结余控制率（4分）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部门本年度结转结余总额与上年结转结余总额增减比例，用以反映和考核部门对存量资金的实际控制程度。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结转结余控制率=（本年结转结余总额-上年结转结余总额）/上年结转结余总额×100%。低于15%的计4分，每超过5个百分点扣1分，扣完为止。结转结余总额：部门本年度的结转资金与结余资金之和。</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trHeight w:val="1562"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left w:val="single" w:color="auto" w:sz="4" w:space="0"/>
              <w:right w:val="single" w:color="auto" w:sz="4" w:space="0"/>
            </w:tcBorders>
            <w:vAlign w:val="center"/>
          </w:tcPr>
          <w:p>
            <w:pPr>
              <w:jc w:val="center"/>
              <w:rPr>
                <w:rFonts w:ascii="仿宋" w:hAnsi="仿宋" w:eastAsia="仿宋" w:cs="宋体"/>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公用经费控制率（2分）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部门本年度实际支出的公用经费总额与预算安排的公用经费总额的比率，用以反映和考核部门对机构运转成本的实际控制程度。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公用经费控制率=（实际支出公用经费总额/预算安排公用经费总额）×100%。为100%的计2分，每超过1个百分点扣0.1分，扣完为止。</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351" w:hRule="atLeast"/>
          <w:jc w:val="center"/>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“三公经费”控制率（2分）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部门本年度“三公经费”实际支出数与预算安排数的比率，用以反映和考核部门对“三公经费”的实际控制程度。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“三公经费”控制率=（“三公经费”实际支出数/“三公经费”预算安排数）×100%。为100%的计2分，每超过1个百分点扣0.5分，扣完为止。</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928" w:hRule="atLeast"/>
          <w:jc w:val="center"/>
        </w:trPr>
        <w:tc>
          <w:tcPr>
            <w:tcW w:w="6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 w:hAnsi="仿宋" w:eastAsia="仿宋"/>
                <w:sz w:val="20"/>
                <w:szCs w:val="20"/>
              </w:rPr>
            </w:pPr>
            <w:r>
              <w:rPr>
                <w:rFonts w:hint="eastAsia" w:ascii="仿宋" w:hAnsi="仿宋" w:eastAsia="仿宋" w:cs="宋体"/>
                <w:sz w:val="20"/>
                <w:szCs w:val="20"/>
              </w:rPr>
              <w:t>过程（30分）</w:t>
            </w: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预算</w:t>
            </w:r>
          </w:p>
          <w:p>
            <w:pPr>
              <w:jc w:val="center"/>
              <w:rPr>
                <w:rFonts w:ascii="仿宋" w:hAnsi="仿宋" w:eastAsia="仿宋"/>
                <w:sz w:val="20"/>
                <w:szCs w:val="20"/>
              </w:rPr>
            </w:pPr>
            <w:r>
              <w:rPr>
                <w:rFonts w:hint="eastAsia" w:ascii="仿宋" w:hAnsi="仿宋" w:eastAsia="仿宋" w:cs="宋体"/>
                <w:sz w:val="20"/>
                <w:szCs w:val="20"/>
              </w:rPr>
              <w:t>执行</w:t>
            </w:r>
            <w:r>
              <w:rPr>
                <w:rFonts w:hint="eastAsia" w:ascii="仿宋" w:hAnsi="仿宋" w:eastAsia="仿宋" w:cs="宋体"/>
                <w:spacing w:val="-20"/>
                <w:sz w:val="20"/>
                <w:szCs w:val="20"/>
              </w:rPr>
              <w:t>（20分）</w:t>
            </w: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政府采购执行率（4分）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部门本年度实际政府采购金额与年初政府采购预算的比率，用以反映和考核部门政府采购预算执行情况。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政府采购执行率=（实际政府采购金额/政府采购预算数）×100%，为100%的计4分，每低于1个百分点扣0.5分，扣完为止；政府采购预算：采购机关根据事业发展计划和行政任务编制的、并经过规定程序批准的年度政府采购计划。</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p>
        </w:tc>
        <w:tc>
          <w:tcPr>
            <w:tcW w:w="850" w:type="dxa"/>
            <w:vMerge w:val="restart"/>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预算</w:t>
            </w:r>
          </w:p>
          <w:p>
            <w:pPr>
              <w:rPr>
                <w:rFonts w:ascii="仿宋" w:hAnsi="仿宋" w:eastAsia="仿宋" w:cs="宋体"/>
                <w:sz w:val="20"/>
                <w:szCs w:val="20"/>
              </w:rPr>
            </w:pPr>
            <w:r>
              <w:rPr>
                <w:rFonts w:hint="eastAsia" w:ascii="仿宋" w:hAnsi="仿宋" w:eastAsia="仿宋" w:cs="宋体"/>
                <w:sz w:val="20"/>
                <w:szCs w:val="20"/>
              </w:rPr>
              <w:t>管理</w:t>
            </w:r>
          </w:p>
          <w:p>
            <w:pPr>
              <w:rPr>
                <w:rFonts w:ascii="仿宋" w:hAnsi="仿宋" w:eastAsia="仿宋" w:cs="宋体"/>
                <w:sz w:val="20"/>
                <w:szCs w:val="20"/>
              </w:rPr>
            </w:pPr>
            <w:r>
              <w:rPr>
                <w:rFonts w:hint="eastAsia" w:ascii="仿宋" w:hAnsi="仿宋" w:eastAsia="仿宋" w:cs="宋体"/>
                <w:sz w:val="20"/>
                <w:szCs w:val="20"/>
              </w:rPr>
              <w:t>（5分）</w:t>
            </w: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管理制度健全性（2分）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部门为加强预算管理、规范财务行为而制定的管理制度是否健全完整，用以反映和考核部门预算管理制度对完成主要职责或促进事业发展的保障情况。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已制定或具有预算资金管理办法、内部财务管理制度、会计核算制度等管理制度计1分；相关管理制度合法、合规、完整计0.5分；相关管理制度得到有效执行计0.5分。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1.5</w:t>
            </w:r>
          </w:p>
        </w:tc>
      </w:tr>
      <w:tr>
        <w:tblPrEx>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nil"/>
              <w:left w:val="nil"/>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资金使用合规性（2分）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部门使用预算资金是否符合相关的预算财务管理制度的规定，用以反映和考核部门预算资金的规范运行情况。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符合国家财经法规和财务管理制度规定以及有关专项资金管理办法的规定计0.4分；②资金的拨付有完整的审批程序和手续计0.4分；③项目的重大开支经过评估论证计0.4分；④符合部门预算批复的用途计0.4分；⑤不存在截留、挤占、挪用、虚列支出等情况计0.4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529"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nil"/>
              <w:left w:val="nil"/>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预决算信息公开性</w:t>
            </w:r>
          </w:p>
          <w:p>
            <w:pPr>
              <w:rPr>
                <w:rFonts w:ascii="仿宋" w:hAnsi="仿宋" w:eastAsia="仿宋" w:cs="宋体"/>
                <w:sz w:val="20"/>
                <w:szCs w:val="20"/>
              </w:rPr>
            </w:pPr>
            <w:r>
              <w:rPr>
                <w:rFonts w:hint="eastAsia" w:ascii="仿宋" w:hAnsi="仿宋" w:eastAsia="仿宋" w:cs="宋体"/>
                <w:sz w:val="20"/>
                <w:szCs w:val="20"/>
              </w:rPr>
              <w:t>（1分）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部门是否按照政府信息公开有关规定公开相关预决算信息，用以反映和考核部门预决算管理的公开透明情况。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①按规定内容公开预决算信息计0.5分；②按规定时限公开预决算信息计0.5分。预决算信息是指与部门预算、执行、决算、监督、绩效等管理相关的信息。</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1</w:t>
            </w:r>
          </w:p>
        </w:tc>
      </w:tr>
      <w:tr>
        <w:tblPrEx>
          <w:tblCellMar>
            <w:top w:w="0" w:type="dxa"/>
            <w:left w:w="108" w:type="dxa"/>
            <w:bottom w:w="0" w:type="dxa"/>
            <w:right w:w="108" w:type="dxa"/>
          </w:tblCellMar>
        </w:tblPrEx>
        <w:trPr>
          <w:jc w:val="center"/>
        </w:trPr>
        <w:tc>
          <w:tcPr>
            <w:tcW w:w="682" w:type="dxa"/>
            <w:vMerge w:val="continue"/>
            <w:tcBorders>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850" w:type="dxa"/>
            <w:vMerge w:val="restart"/>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资产</w:t>
            </w:r>
            <w:r>
              <w:rPr>
                <w:rFonts w:hint="eastAsia" w:ascii="仿宋" w:hAnsi="仿宋" w:eastAsia="仿宋" w:cs="宋体"/>
                <w:sz w:val="20"/>
                <w:szCs w:val="20"/>
              </w:rPr>
              <w:br w:type="textWrapping"/>
            </w:r>
            <w:r>
              <w:rPr>
                <w:rFonts w:hint="eastAsia" w:ascii="仿宋" w:hAnsi="仿宋" w:eastAsia="仿宋" w:cs="宋体"/>
                <w:sz w:val="20"/>
                <w:szCs w:val="20"/>
              </w:rPr>
              <w:t>管理</w:t>
            </w:r>
          </w:p>
          <w:p>
            <w:pPr>
              <w:rPr>
                <w:rFonts w:ascii="仿宋" w:hAnsi="仿宋" w:eastAsia="仿宋" w:cs="宋体"/>
                <w:sz w:val="20"/>
                <w:szCs w:val="20"/>
              </w:rPr>
            </w:pPr>
            <w:r>
              <w:rPr>
                <w:rFonts w:hint="eastAsia" w:ascii="仿宋" w:hAnsi="仿宋" w:eastAsia="仿宋" w:cs="宋体"/>
                <w:sz w:val="20"/>
                <w:szCs w:val="20"/>
              </w:rPr>
              <w:t>（5分）</w:t>
            </w: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管理制度健全性（2分）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部门为加强资产管理、规范资产管理行为而制定的管理制度是否健全完整，用以反映和考核部门资产管理制度对完成主要职责或促进社会发展的保障情况。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①制定或具有资产管理制度计1分；②相关资金管理制度合法、合规、完整计0.5分；③相关资产管理制度得到有效执行计0.5分。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single" w:color="auto" w:sz="4" w:space="0"/>
              <w:left w:val="nil"/>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资产管理安全性（2分）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部门的资产是否保存完整、使用合规、配置合理、处置规范、收入及时足额上缴，用以反映和考核部门资产安全运行情况。</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①资产保存完整计0.4分；②资产配置合理计0.4分；③资产处置规范计0.4分；④资产账务管理合规、帐实相符计0.4分；⑤资产有偿使用及处置收入及时足额上缴计0.4分。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2</w:t>
            </w:r>
          </w:p>
        </w:tc>
      </w:tr>
      <w:tr>
        <w:tblPrEx>
          <w:tblCellMar>
            <w:top w:w="0" w:type="dxa"/>
            <w:left w:w="108" w:type="dxa"/>
            <w:bottom w:w="0" w:type="dxa"/>
            <w:right w:w="108" w:type="dxa"/>
          </w:tblCellMar>
        </w:tblPrEx>
        <w:trPr>
          <w:trHeight w:val="1355" w:hRule="atLeast"/>
          <w:jc w:val="center"/>
        </w:trPr>
        <w:tc>
          <w:tcPr>
            <w:tcW w:w="682" w:type="dxa"/>
            <w:tcBorders>
              <w:top w:val="single" w:color="auto" w:sz="4" w:space="0"/>
              <w:left w:val="single" w:color="auto" w:sz="4" w:space="0"/>
              <w:bottom w:val="single" w:color="000000" w:sz="4" w:space="0"/>
              <w:right w:val="single" w:color="auto" w:sz="4" w:space="0"/>
            </w:tcBorders>
            <w:vAlign w:val="center"/>
          </w:tcPr>
          <w:p>
            <w:pPr>
              <w:ind w:left="113"/>
              <w:rPr>
                <w:rFonts w:ascii="仿宋" w:hAnsi="仿宋" w:eastAsia="仿宋"/>
                <w:sz w:val="20"/>
                <w:szCs w:val="20"/>
              </w:rPr>
            </w:pPr>
          </w:p>
        </w:tc>
        <w:tc>
          <w:tcPr>
            <w:tcW w:w="850" w:type="dxa"/>
            <w:tcBorders>
              <w:top w:val="single" w:color="auto" w:sz="4" w:space="0"/>
              <w:left w:val="nil"/>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固定资产利用率（1分）</w:t>
            </w:r>
          </w:p>
        </w:tc>
        <w:tc>
          <w:tcPr>
            <w:tcW w:w="2413"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部门实际在用固定资产总额与所有固定资产总额的比率，用以反映和考核部门固定资产使用效率程度。</w:t>
            </w:r>
          </w:p>
        </w:tc>
        <w:tc>
          <w:tcPr>
            <w:tcW w:w="3257" w:type="dxa"/>
            <w:tcBorders>
              <w:top w:val="nil"/>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固定资产利用率=（实际在用固定资产总额/所有固定资产总额）×100%。利用率为100%的计1分，每降1个百分点扣0.1分，扣完为止。</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1</w:t>
            </w:r>
          </w:p>
        </w:tc>
      </w:tr>
      <w:tr>
        <w:tblPrEx>
          <w:tblCellMar>
            <w:top w:w="0" w:type="dxa"/>
            <w:left w:w="108" w:type="dxa"/>
            <w:bottom w:w="0" w:type="dxa"/>
            <w:right w:w="108" w:type="dxa"/>
          </w:tblCellMar>
        </w:tblPrEx>
        <w:trPr>
          <w:trHeight w:val="1403" w:hRule="atLeast"/>
          <w:jc w:val="center"/>
        </w:trPr>
        <w:tc>
          <w:tcPr>
            <w:tcW w:w="682" w:type="dxa"/>
            <w:vMerge w:val="restart"/>
            <w:tcBorders>
              <w:top w:val="nil"/>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r>
              <w:rPr>
                <w:rFonts w:hint="eastAsia" w:ascii="仿宋" w:hAnsi="仿宋" w:eastAsia="仿宋" w:cs="宋体"/>
                <w:sz w:val="20"/>
                <w:szCs w:val="20"/>
              </w:rPr>
              <w:t>产出（50分）</w:t>
            </w:r>
          </w:p>
        </w:tc>
        <w:tc>
          <w:tcPr>
            <w:tcW w:w="850" w:type="dxa"/>
            <w:vMerge w:val="restart"/>
            <w:tcBorders>
              <w:top w:val="single" w:color="auto" w:sz="4" w:space="0"/>
              <w:left w:val="nil"/>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职责</w:t>
            </w:r>
          </w:p>
          <w:p>
            <w:pPr>
              <w:jc w:val="center"/>
              <w:rPr>
                <w:rFonts w:ascii="仿宋" w:hAnsi="仿宋" w:eastAsia="仿宋" w:cs="宋体"/>
                <w:sz w:val="20"/>
                <w:szCs w:val="20"/>
              </w:rPr>
            </w:pPr>
            <w:r>
              <w:rPr>
                <w:rFonts w:hint="eastAsia" w:ascii="仿宋" w:hAnsi="仿宋" w:eastAsia="仿宋" w:cs="宋体"/>
                <w:sz w:val="20"/>
                <w:szCs w:val="20"/>
              </w:rPr>
              <w:t>履行</w:t>
            </w:r>
            <w:r>
              <w:rPr>
                <w:rFonts w:hint="eastAsia" w:ascii="仿宋" w:hAnsi="仿宋" w:eastAsia="仿宋" w:cs="宋体"/>
                <w:spacing w:val="-20"/>
                <w:sz w:val="20"/>
                <w:szCs w:val="20"/>
              </w:rPr>
              <w:t>（30分）</w:t>
            </w:r>
          </w:p>
        </w:tc>
        <w:tc>
          <w:tcPr>
            <w:tcW w:w="993" w:type="dxa"/>
            <w:tcBorders>
              <w:top w:val="single" w:color="auto" w:sz="4" w:space="0"/>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实际完成率</w:t>
            </w:r>
          </w:p>
          <w:p>
            <w:pPr>
              <w:rPr>
                <w:rFonts w:ascii="仿宋" w:hAnsi="仿宋" w:eastAsia="仿宋" w:cs="宋体"/>
                <w:sz w:val="20"/>
                <w:szCs w:val="20"/>
              </w:rPr>
            </w:pPr>
            <w:r>
              <w:rPr>
                <w:rFonts w:hint="eastAsia" w:ascii="仿宋" w:hAnsi="仿宋" w:eastAsia="仿宋" w:cs="宋体"/>
                <w:sz w:val="20"/>
                <w:szCs w:val="20"/>
              </w:rPr>
              <w:t>（8分）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部门履行职责而实际完成工作数与计划工作数的比率，用以反映和考核部门履职工作任务目标的实现程度。</w:t>
            </w:r>
          </w:p>
        </w:tc>
        <w:tc>
          <w:tcPr>
            <w:tcW w:w="325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实际完成率得分=完成管委会绩效考核得分或上级主管部门考核指标得分/指标分值*8分。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8</w:t>
            </w:r>
          </w:p>
        </w:tc>
      </w:tr>
      <w:tr>
        <w:tblPrEx>
          <w:tblCellMar>
            <w:top w:w="0" w:type="dxa"/>
            <w:left w:w="108" w:type="dxa"/>
            <w:bottom w:w="0" w:type="dxa"/>
            <w:right w:w="108" w:type="dxa"/>
          </w:tblCellMar>
        </w:tblPrEx>
        <w:trPr>
          <w:trHeight w:val="1409"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p>
        </w:tc>
        <w:tc>
          <w:tcPr>
            <w:tcW w:w="850" w:type="dxa"/>
            <w:vMerge w:val="continue"/>
            <w:tcBorders>
              <w:left w:val="nil"/>
              <w:right w:val="single" w:color="auto" w:sz="4" w:space="0"/>
            </w:tcBorders>
            <w:vAlign w:val="center"/>
          </w:tcPr>
          <w:p>
            <w:pPr>
              <w:jc w:val="center"/>
              <w:rPr>
                <w:rFonts w:ascii="仿宋" w:hAnsi="仿宋" w:eastAsia="仿宋" w:cs="宋体"/>
                <w:sz w:val="20"/>
                <w:szCs w:val="20"/>
              </w:rPr>
            </w:pPr>
          </w:p>
        </w:tc>
        <w:tc>
          <w:tcPr>
            <w:tcW w:w="993" w:type="dxa"/>
            <w:tcBorders>
              <w:top w:val="single" w:color="auto" w:sz="4" w:space="0"/>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完成及时率</w:t>
            </w:r>
          </w:p>
          <w:p>
            <w:pPr>
              <w:rPr>
                <w:rFonts w:ascii="仿宋" w:hAnsi="仿宋" w:eastAsia="仿宋" w:cs="宋体"/>
                <w:sz w:val="20"/>
                <w:szCs w:val="20"/>
              </w:rPr>
            </w:pPr>
            <w:r>
              <w:rPr>
                <w:rFonts w:hint="eastAsia" w:ascii="仿宋" w:hAnsi="仿宋" w:eastAsia="仿宋" w:cs="宋体"/>
                <w:sz w:val="20"/>
                <w:szCs w:val="20"/>
              </w:rPr>
              <w:t>（4分）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部门在规定时限内及时完成的实际工作数与计划工作数的比率,用以反映和考核部门履职时效目标的实现程度。</w:t>
            </w:r>
          </w:p>
        </w:tc>
        <w:tc>
          <w:tcPr>
            <w:tcW w:w="325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完成及时率=（及时完成实际工作数/计划工作数）×100%。1-4季度各得1分。</w:t>
            </w:r>
            <w:r>
              <w:rPr>
                <w:rFonts w:hint="eastAsia" w:ascii="仿宋" w:hAnsi="仿宋" w:eastAsia="仿宋" w:cs="宋体"/>
                <w:sz w:val="20"/>
                <w:szCs w:val="20"/>
              </w:rPr>
              <w:br w:type="textWrapping"/>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trHeight w:val="1630"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p>
        </w:tc>
        <w:tc>
          <w:tcPr>
            <w:tcW w:w="850" w:type="dxa"/>
            <w:vMerge w:val="continue"/>
            <w:tcBorders>
              <w:left w:val="nil"/>
              <w:right w:val="single" w:color="auto" w:sz="4" w:space="0"/>
            </w:tcBorders>
            <w:vAlign w:val="center"/>
          </w:tcPr>
          <w:p>
            <w:pPr>
              <w:jc w:val="center"/>
              <w:rPr>
                <w:rFonts w:ascii="仿宋" w:hAnsi="仿宋" w:eastAsia="仿宋" w:cs="宋体"/>
                <w:sz w:val="20"/>
                <w:szCs w:val="20"/>
              </w:rPr>
            </w:pPr>
          </w:p>
        </w:tc>
        <w:tc>
          <w:tcPr>
            <w:tcW w:w="993" w:type="dxa"/>
            <w:tcBorders>
              <w:top w:val="single" w:color="auto" w:sz="4" w:space="0"/>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质量达标率</w:t>
            </w:r>
          </w:p>
          <w:p>
            <w:pPr>
              <w:rPr>
                <w:rFonts w:ascii="仿宋" w:hAnsi="仿宋" w:eastAsia="仿宋" w:cs="宋体"/>
                <w:sz w:val="20"/>
                <w:szCs w:val="20"/>
              </w:rPr>
            </w:pPr>
            <w:r>
              <w:rPr>
                <w:rFonts w:hint="eastAsia" w:ascii="仿宋" w:hAnsi="仿宋" w:eastAsia="仿宋" w:cs="宋体"/>
                <w:sz w:val="20"/>
                <w:szCs w:val="20"/>
              </w:rPr>
              <w:t>（8分）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达到质量标准（绩效标准值）的实际工作数与计划工作数的比率,用以反映和考核部门履职质量目标的实现程度。</w:t>
            </w:r>
          </w:p>
        </w:tc>
        <w:tc>
          <w:tcPr>
            <w:tcW w:w="325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质量达标率=（质量达标实际工作数/计划工作数）×100%。实际得分=达标率*8分。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8</w:t>
            </w:r>
          </w:p>
        </w:tc>
      </w:tr>
      <w:tr>
        <w:tblPrEx>
          <w:tblCellMar>
            <w:top w:w="0" w:type="dxa"/>
            <w:left w:w="108" w:type="dxa"/>
            <w:bottom w:w="0" w:type="dxa"/>
            <w:right w:w="108" w:type="dxa"/>
          </w:tblCellMar>
        </w:tblPrEx>
        <w:trPr>
          <w:trHeight w:val="1539"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cs="宋体"/>
                <w:sz w:val="20"/>
                <w:szCs w:val="20"/>
              </w:rPr>
            </w:pPr>
          </w:p>
        </w:tc>
        <w:tc>
          <w:tcPr>
            <w:tcW w:w="850" w:type="dxa"/>
            <w:vMerge w:val="continue"/>
            <w:tcBorders>
              <w:left w:val="nil"/>
              <w:bottom w:val="single" w:color="auto" w:sz="4" w:space="0"/>
              <w:right w:val="single" w:color="auto" w:sz="4" w:space="0"/>
            </w:tcBorders>
            <w:vAlign w:val="center"/>
          </w:tcPr>
          <w:p>
            <w:pPr>
              <w:jc w:val="center"/>
              <w:rPr>
                <w:rFonts w:ascii="仿宋" w:hAnsi="仿宋" w:eastAsia="仿宋" w:cs="宋体"/>
                <w:sz w:val="20"/>
                <w:szCs w:val="20"/>
              </w:rPr>
            </w:pPr>
          </w:p>
        </w:tc>
        <w:tc>
          <w:tcPr>
            <w:tcW w:w="993" w:type="dxa"/>
            <w:tcBorders>
              <w:top w:val="single" w:color="auto" w:sz="4" w:space="0"/>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重点工作办结率</w:t>
            </w:r>
            <w:r>
              <w:rPr>
                <w:rFonts w:hint="eastAsia" w:ascii="仿宋" w:hAnsi="仿宋" w:eastAsia="仿宋" w:cs="宋体"/>
                <w:spacing w:val="-20"/>
                <w:sz w:val="20"/>
                <w:szCs w:val="20"/>
              </w:rPr>
              <w:t>（10分）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部门年度重点工作实际完成数与交办或下达数的比率，用以反映部门对重点工作的办理落实程度。</w:t>
            </w:r>
          </w:p>
        </w:tc>
        <w:tc>
          <w:tcPr>
            <w:tcW w:w="325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重点工作办结率=（重点工作实际完成数/交办或下达数）×100%。实际得分=办结率*10分。</w:t>
            </w:r>
          </w:p>
        </w:tc>
        <w:tc>
          <w:tcPr>
            <w:tcW w:w="625"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10</w:t>
            </w:r>
          </w:p>
        </w:tc>
      </w:tr>
      <w:tr>
        <w:tblPrEx>
          <w:tblCellMar>
            <w:top w:w="0" w:type="dxa"/>
            <w:left w:w="108" w:type="dxa"/>
            <w:bottom w:w="0" w:type="dxa"/>
            <w:right w:w="108" w:type="dxa"/>
          </w:tblCellMar>
        </w:tblPrEx>
        <w:trPr>
          <w:trHeight w:val="546" w:hRule="atLeast"/>
          <w:jc w:val="center"/>
        </w:trPr>
        <w:tc>
          <w:tcPr>
            <w:tcW w:w="682" w:type="dxa"/>
            <w:vMerge w:val="continue"/>
            <w:tcBorders>
              <w:left w:val="single" w:color="auto" w:sz="4" w:space="0"/>
              <w:right w:val="single" w:color="auto" w:sz="4" w:space="0"/>
            </w:tcBorders>
            <w:textDirection w:val="tbRlV"/>
            <w:vAlign w:val="center"/>
          </w:tcPr>
          <w:p>
            <w:pPr>
              <w:ind w:left="113" w:right="113"/>
              <w:jc w:val="center"/>
              <w:rPr>
                <w:rFonts w:ascii="仿宋" w:hAnsi="仿宋" w:eastAsia="仿宋"/>
                <w:sz w:val="20"/>
                <w:szCs w:val="20"/>
              </w:rPr>
            </w:pP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履职 效益</w:t>
            </w:r>
            <w:r>
              <w:rPr>
                <w:rFonts w:hint="eastAsia" w:ascii="仿宋" w:hAnsi="仿宋" w:eastAsia="仿宋" w:cs="宋体"/>
                <w:spacing w:val="-20"/>
                <w:sz w:val="20"/>
                <w:szCs w:val="20"/>
              </w:rPr>
              <w:t>（20分）</w:t>
            </w: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经济</w:t>
            </w:r>
          </w:p>
          <w:p>
            <w:pPr>
              <w:jc w:val="center"/>
              <w:rPr>
                <w:rFonts w:ascii="仿宋" w:hAnsi="仿宋" w:eastAsia="仿宋" w:cs="宋体"/>
                <w:sz w:val="20"/>
                <w:szCs w:val="20"/>
              </w:rPr>
            </w:pPr>
            <w:r>
              <w:rPr>
                <w:rFonts w:hint="eastAsia" w:ascii="仿宋" w:hAnsi="仿宋" w:eastAsia="仿宋" w:cs="宋体"/>
                <w:sz w:val="20"/>
                <w:szCs w:val="20"/>
              </w:rPr>
              <w:t>效益</w:t>
            </w:r>
          </w:p>
          <w:p>
            <w:pPr>
              <w:jc w:val="center"/>
              <w:rPr>
                <w:rFonts w:ascii="仿宋" w:hAnsi="仿宋" w:eastAsia="仿宋" w:cs="宋体"/>
                <w:sz w:val="20"/>
                <w:szCs w:val="20"/>
              </w:rPr>
            </w:pPr>
            <w:r>
              <w:rPr>
                <w:rFonts w:hint="eastAsia" w:ascii="仿宋" w:hAnsi="仿宋" w:eastAsia="仿宋" w:cs="宋体"/>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部门履行职责对经济发展所带来的直接或间接影响。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按经济效益实现程度计算得分（5分）。</w:t>
            </w:r>
          </w:p>
        </w:tc>
        <w:tc>
          <w:tcPr>
            <w:tcW w:w="6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5</w:t>
            </w:r>
          </w:p>
        </w:tc>
      </w:tr>
      <w:tr>
        <w:tblPrEx>
          <w:tblCellMar>
            <w:top w:w="0" w:type="dxa"/>
            <w:left w:w="108" w:type="dxa"/>
            <w:bottom w:w="0" w:type="dxa"/>
            <w:right w:w="108" w:type="dxa"/>
          </w:tblCellMar>
        </w:tblPrEx>
        <w:trPr>
          <w:trHeight w:val="556"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社会</w:t>
            </w:r>
          </w:p>
          <w:p>
            <w:pPr>
              <w:jc w:val="center"/>
              <w:rPr>
                <w:rFonts w:ascii="仿宋" w:hAnsi="仿宋" w:eastAsia="仿宋" w:cs="宋体"/>
                <w:sz w:val="20"/>
                <w:szCs w:val="20"/>
              </w:rPr>
            </w:pPr>
            <w:r>
              <w:rPr>
                <w:rFonts w:hint="eastAsia" w:ascii="仿宋" w:hAnsi="仿宋" w:eastAsia="仿宋" w:cs="宋体"/>
                <w:sz w:val="20"/>
                <w:szCs w:val="20"/>
              </w:rPr>
              <w:t>效益</w:t>
            </w:r>
          </w:p>
          <w:p>
            <w:pPr>
              <w:jc w:val="center"/>
              <w:rPr>
                <w:rFonts w:ascii="仿宋" w:hAnsi="仿宋" w:eastAsia="仿宋" w:cs="宋体"/>
                <w:sz w:val="20"/>
                <w:szCs w:val="20"/>
              </w:rPr>
            </w:pPr>
            <w:r>
              <w:rPr>
                <w:rFonts w:hint="eastAsia" w:ascii="仿宋" w:hAnsi="仿宋" w:eastAsia="仿宋" w:cs="宋体"/>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部门履行职责对社会发展所带来的直接或间接影响。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按社会效益实现程度计算得分（5分）。</w:t>
            </w:r>
          </w:p>
        </w:tc>
        <w:tc>
          <w:tcPr>
            <w:tcW w:w="6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5</w:t>
            </w:r>
          </w:p>
        </w:tc>
      </w:tr>
      <w:tr>
        <w:tblPrEx>
          <w:tblCellMar>
            <w:top w:w="0" w:type="dxa"/>
            <w:left w:w="108" w:type="dxa"/>
            <w:bottom w:w="0" w:type="dxa"/>
            <w:right w:w="108" w:type="dxa"/>
          </w:tblCellMar>
        </w:tblPrEx>
        <w:trPr>
          <w:trHeight w:val="1225" w:hRule="atLeast"/>
          <w:jc w:val="center"/>
        </w:trPr>
        <w:tc>
          <w:tcPr>
            <w:tcW w:w="682" w:type="dxa"/>
            <w:vMerge w:val="continue"/>
            <w:tcBorders>
              <w:left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sz w:val="20"/>
                <w:szCs w:val="20"/>
              </w:rPr>
            </w:pP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生态</w:t>
            </w:r>
          </w:p>
          <w:p>
            <w:pPr>
              <w:jc w:val="center"/>
              <w:rPr>
                <w:rFonts w:ascii="仿宋" w:hAnsi="仿宋" w:eastAsia="仿宋" w:cs="宋体"/>
                <w:sz w:val="20"/>
                <w:szCs w:val="20"/>
              </w:rPr>
            </w:pPr>
            <w:r>
              <w:rPr>
                <w:rFonts w:hint="eastAsia" w:ascii="仿宋" w:hAnsi="仿宋" w:eastAsia="仿宋" w:cs="宋体"/>
                <w:sz w:val="20"/>
                <w:szCs w:val="20"/>
              </w:rPr>
              <w:t>效益</w:t>
            </w:r>
          </w:p>
          <w:p>
            <w:pPr>
              <w:jc w:val="center"/>
              <w:rPr>
                <w:rFonts w:ascii="仿宋" w:hAnsi="仿宋" w:eastAsia="仿宋" w:cs="宋体"/>
                <w:sz w:val="20"/>
                <w:szCs w:val="20"/>
              </w:rPr>
            </w:pPr>
            <w:r>
              <w:rPr>
                <w:rFonts w:hint="eastAsia" w:ascii="仿宋" w:hAnsi="仿宋" w:eastAsia="仿宋" w:cs="宋体"/>
                <w:sz w:val="20"/>
                <w:szCs w:val="20"/>
              </w:rPr>
              <w:t>（5分）</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部门履行职责对生态环境所带来的直接或间接影响。</w:t>
            </w:r>
          </w:p>
        </w:tc>
        <w:tc>
          <w:tcPr>
            <w:tcW w:w="3257" w:type="dxa"/>
            <w:tcBorders>
              <w:top w:val="single" w:color="auto" w:sz="4" w:space="0"/>
              <w:left w:val="single" w:color="auto" w:sz="4" w:space="0"/>
              <w:bottom w:val="single" w:color="auto" w:sz="4" w:space="0"/>
              <w:right w:val="single" w:color="000000"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按生态效益实现程度计算得分（5分）。</w:t>
            </w:r>
          </w:p>
        </w:tc>
        <w:tc>
          <w:tcPr>
            <w:tcW w:w="6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0"/>
                <w:szCs w:val="20"/>
              </w:rPr>
            </w:pPr>
            <w:r>
              <w:rPr>
                <w:rFonts w:hint="eastAsia" w:ascii="仿宋" w:hAnsi="仿宋" w:eastAsia="仿宋"/>
                <w:b/>
                <w:sz w:val="20"/>
                <w:szCs w:val="20"/>
              </w:rPr>
              <w:t>5</w:t>
            </w:r>
          </w:p>
        </w:tc>
      </w:tr>
      <w:tr>
        <w:tblPrEx>
          <w:tblCellMar>
            <w:top w:w="0" w:type="dxa"/>
            <w:left w:w="108" w:type="dxa"/>
            <w:bottom w:w="0" w:type="dxa"/>
            <w:right w:w="108" w:type="dxa"/>
          </w:tblCellMar>
        </w:tblPrEx>
        <w:trPr>
          <w:trHeight w:val="1974" w:hRule="atLeast"/>
          <w:jc w:val="center"/>
        </w:trPr>
        <w:tc>
          <w:tcPr>
            <w:tcW w:w="682" w:type="dxa"/>
            <w:vMerge w:val="continue"/>
            <w:tcBorders>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szCs w:val="20"/>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sz w:val="20"/>
                <w:szCs w:val="20"/>
              </w:rPr>
            </w:pPr>
            <w:r>
              <w:rPr>
                <w:rFonts w:hint="eastAsia" w:ascii="仿宋" w:hAnsi="仿宋" w:eastAsia="仿宋" w:cs="宋体"/>
                <w:sz w:val="20"/>
                <w:szCs w:val="20"/>
              </w:rPr>
              <w:t>社会公众或服务对象满意度（5分）</w:t>
            </w:r>
          </w:p>
        </w:tc>
        <w:tc>
          <w:tcPr>
            <w:tcW w:w="2413"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社会公众或部门的服务对象对部门履职效果的满意程度。</w:t>
            </w:r>
          </w:p>
        </w:tc>
        <w:tc>
          <w:tcPr>
            <w:tcW w:w="325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sz w:val="20"/>
                <w:szCs w:val="20"/>
              </w:rPr>
            </w:pPr>
            <w:r>
              <w:rPr>
                <w:rFonts w:hint="eastAsia" w:ascii="仿宋" w:hAnsi="仿宋" w:eastAsia="仿宋" w:cs="宋体"/>
                <w:sz w:val="20"/>
                <w:szCs w:val="20"/>
              </w:rPr>
              <w:t>按收集到的服务对象的满意率计算得分（5分），社会公众或服务对象是指部门（单位）履行职责而影响到的部门、群体或个人，一般采取社会调查的方式。</w:t>
            </w:r>
          </w:p>
        </w:tc>
        <w:tc>
          <w:tcPr>
            <w:tcW w:w="6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4</w:t>
            </w:r>
          </w:p>
        </w:tc>
      </w:tr>
      <w:tr>
        <w:tblPrEx>
          <w:tblCellMar>
            <w:top w:w="0" w:type="dxa"/>
            <w:left w:w="108" w:type="dxa"/>
            <w:bottom w:w="0" w:type="dxa"/>
            <w:right w:w="108" w:type="dxa"/>
          </w:tblCellMar>
        </w:tblPrEx>
        <w:trPr>
          <w:trHeight w:val="826" w:hRule="atLeast"/>
          <w:jc w:val="center"/>
        </w:trPr>
        <w:tc>
          <w:tcPr>
            <w:tcW w:w="2525" w:type="dxa"/>
            <w:gridSpan w:val="3"/>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sz w:val="20"/>
                <w:szCs w:val="20"/>
              </w:rPr>
            </w:pPr>
            <w:r>
              <w:rPr>
                <w:rFonts w:hint="eastAsia" w:ascii="仿宋" w:hAnsi="仿宋" w:eastAsia="仿宋" w:cs="宋体"/>
                <w:sz w:val="20"/>
                <w:szCs w:val="20"/>
              </w:rPr>
              <w:t>自评总分</w:t>
            </w:r>
          </w:p>
        </w:tc>
        <w:tc>
          <w:tcPr>
            <w:tcW w:w="629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97</w:t>
            </w:r>
          </w:p>
        </w:tc>
      </w:tr>
    </w:tbl>
    <w:p/>
    <w:p>
      <w:pPr>
        <w:ind w:firstLine="640" w:firstLineChars="200"/>
        <w:jc w:val="left"/>
        <w:rPr>
          <w:rFonts w:cs="黑体" w:asciiTheme="minorEastAsia" w:hAnsiTheme="minorEastAsia"/>
          <w:color w:val="FF0000"/>
          <w:kern w:val="0"/>
          <w:sz w:val="32"/>
          <w:szCs w:val="32"/>
        </w:rPr>
      </w:pP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EkIMc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Nl&#10;1qcPUGPafcDENLzzA+bOfkBnpj2oaPMXCRGMI9T5qq4cEhH50Xq1XlcYEhibL4jPHp6HCOm99JZk&#10;o6ERx1dU5aePkMbUOSVXc/5OG1NGaNw/DsTMHpZ7H3vMVhr2w0Ro79sz8ulx8g11uOiUmA8OhcX+&#10;0mzE2djPxjFEfejKFuV6EG6PCZsoveUKI+xUGEdW2E3rlXfi8b1kPfxS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UEkIMcBAACa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ZmQ1YTljMjhjMjU5MTA3ZDFiOTgzYTk3MzNlMTIifQ=="/>
  </w:docVars>
  <w:rsids>
    <w:rsidRoot w:val="004506F9"/>
    <w:rsid w:val="0002229B"/>
    <w:rsid w:val="000273BD"/>
    <w:rsid w:val="000415B7"/>
    <w:rsid w:val="00041E3F"/>
    <w:rsid w:val="00055DAA"/>
    <w:rsid w:val="00061F7B"/>
    <w:rsid w:val="000658A3"/>
    <w:rsid w:val="00074155"/>
    <w:rsid w:val="00080869"/>
    <w:rsid w:val="00092E0F"/>
    <w:rsid w:val="000A3F69"/>
    <w:rsid w:val="000C6BEE"/>
    <w:rsid w:val="00103957"/>
    <w:rsid w:val="0012544C"/>
    <w:rsid w:val="00152C6D"/>
    <w:rsid w:val="00162D39"/>
    <w:rsid w:val="001642B9"/>
    <w:rsid w:val="001678BD"/>
    <w:rsid w:val="001840A6"/>
    <w:rsid w:val="001A67DB"/>
    <w:rsid w:val="001C3C29"/>
    <w:rsid w:val="001D51E5"/>
    <w:rsid w:val="001E0404"/>
    <w:rsid w:val="001E080D"/>
    <w:rsid w:val="001E53D0"/>
    <w:rsid w:val="001F0C3B"/>
    <w:rsid w:val="00202C82"/>
    <w:rsid w:val="00214427"/>
    <w:rsid w:val="002173AC"/>
    <w:rsid w:val="002247A3"/>
    <w:rsid w:val="00226CB7"/>
    <w:rsid w:val="002301A4"/>
    <w:rsid w:val="00263648"/>
    <w:rsid w:val="00264552"/>
    <w:rsid w:val="00264EF9"/>
    <w:rsid w:val="00265724"/>
    <w:rsid w:val="0027426B"/>
    <w:rsid w:val="002E0A30"/>
    <w:rsid w:val="00301FC8"/>
    <w:rsid w:val="003130C4"/>
    <w:rsid w:val="00316C4B"/>
    <w:rsid w:val="0032192B"/>
    <w:rsid w:val="003479BD"/>
    <w:rsid w:val="0037197D"/>
    <w:rsid w:val="003768D5"/>
    <w:rsid w:val="003C47E6"/>
    <w:rsid w:val="003C4955"/>
    <w:rsid w:val="003C4FC2"/>
    <w:rsid w:val="003D26D6"/>
    <w:rsid w:val="003E4375"/>
    <w:rsid w:val="00416E61"/>
    <w:rsid w:val="0042790C"/>
    <w:rsid w:val="004506F9"/>
    <w:rsid w:val="004717A2"/>
    <w:rsid w:val="00473DF3"/>
    <w:rsid w:val="00483143"/>
    <w:rsid w:val="00487911"/>
    <w:rsid w:val="00491741"/>
    <w:rsid w:val="004A2A9B"/>
    <w:rsid w:val="00500E5F"/>
    <w:rsid w:val="005122EF"/>
    <w:rsid w:val="0051441A"/>
    <w:rsid w:val="00517C33"/>
    <w:rsid w:val="00523644"/>
    <w:rsid w:val="00534415"/>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C5AD7"/>
    <w:rsid w:val="006D7730"/>
    <w:rsid w:val="006E5284"/>
    <w:rsid w:val="006F3EB5"/>
    <w:rsid w:val="00702E34"/>
    <w:rsid w:val="00704395"/>
    <w:rsid w:val="00717621"/>
    <w:rsid w:val="0072074E"/>
    <w:rsid w:val="00720FF1"/>
    <w:rsid w:val="00727A53"/>
    <w:rsid w:val="00787B42"/>
    <w:rsid w:val="007C4539"/>
    <w:rsid w:val="007E712F"/>
    <w:rsid w:val="007F3657"/>
    <w:rsid w:val="00812ED5"/>
    <w:rsid w:val="00825A91"/>
    <w:rsid w:val="008277D9"/>
    <w:rsid w:val="0084478C"/>
    <w:rsid w:val="0086638C"/>
    <w:rsid w:val="008A3E8D"/>
    <w:rsid w:val="008A5F0C"/>
    <w:rsid w:val="008E62E4"/>
    <w:rsid w:val="009237C4"/>
    <w:rsid w:val="00933424"/>
    <w:rsid w:val="00944C48"/>
    <w:rsid w:val="00947B39"/>
    <w:rsid w:val="00950252"/>
    <w:rsid w:val="00967F5D"/>
    <w:rsid w:val="00975C1A"/>
    <w:rsid w:val="009A0F95"/>
    <w:rsid w:val="009A6B38"/>
    <w:rsid w:val="009B3ADF"/>
    <w:rsid w:val="009C3B52"/>
    <w:rsid w:val="009E6817"/>
    <w:rsid w:val="009E6E9A"/>
    <w:rsid w:val="00A01D2B"/>
    <w:rsid w:val="00A36E88"/>
    <w:rsid w:val="00A42218"/>
    <w:rsid w:val="00A45FE6"/>
    <w:rsid w:val="00A55C76"/>
    <w:rsid w:val="00A70249"/>
    <w:rsid w:val="00A70B02"/>
    <w:rsid w:val="00A71D9F"/>
    <w:rsid w:val="00A81725"/>
    <w:rsid w:val="00A92E9F"/>
    <w:rsid w:val="00AA6B6F"/>
    <w:rsid w:val="00B27C29"/>
    <w:rsid w:val="00B33BEA"/>
    <w:rsid w:val="00B57C9F"/>
    <w:rsid w:val="00B63572"/>
    <w:rsid w:val="00B71F59"/>
    <w:rsid w:val="00B845B3"/>
    <w:rsid w:val="00B85D8B"/>
    <w:rsid w:val="00BA182A"/>
    <w:rsid w:val="00BB4A40"/>
    <w:rsid w:val="00BD6C3E"/>
    <w:rsid w:val="00BE3674"/>
    <w:rsid w:val="00BE6BF2"/>
    <w:rsid w:val="00C10681"/>
    <w:rsid w:val="00C15AF8"/>
    <w:rsid w:val="00C3049A"/>
    <w:rsid w:val="00C31B1E"/>
    <w:rsid w:val="00C621A8"/>
    <w:rsid w:val="00C77645"/>
    <w:rsid w:val="00C840FA"/>
    <w:rsid w:val="00CC109B"/>
    <w:rsid w:val="00CC372D"/>
    <w:rsid w:val="00CE04C3"/>
    <w:rsid w:val="00CE2F3C"/>
    <w:rsid w:val="00CE76A0"/>
    <w:rsid w:val="00D148C6"/>
    <w:rsid w:val="00D17A8A"/>
    <w:rsid w:val="00D225F9"/>
    <w:rsid w:val="00D415BA"/>
    <w:rsid w:val="00D644EE"/>
    <w:rsid w:val="00DD06FF"/>
    <w:rsid w:val="00DD5FE9"/>
    <w:rsid w:val="00E00C7A"/>
    <w:rsid w:val="00E37D6C"/>
    <w:rsid w:val="00E55B68"/>
    <w:rsid w:val="00E67BE6"/>
    <w:rsid w:val="00E84C36"/>
    <w:rsid w:val="00E8683C"/>
    <w:rsid w:val="00EA2B72"/>
    <w:rsid w:val="00EC7CCA"/>
    <w:rsid w:val="00EE0455"/>
    <w:rsid w:val="00EF399F"/>
    <w:rsid w:val="00F74360"/>
    <w:rsid w:val="00F85BAB"/>
    <w:rsid w:val="00FA774A"/>
    <w:rsid w:val="00FB462F"/>
    <w:rsid w:val="00FD0A17"/>
    <w:rsid w:val="00FE16FA"/>
    <w:rsid w:val="00FE328A"/>
    <w:rsid w:val="00FE6269"/>
    <w:rsid w:val="015E5EC9"/>
    <w:rsid w:val="01D34903"/>
    <w:rsid w:val="02A46519"/>
    <w:rsid w:val="03AE3AF3"/>
    <w:rsid w:val="048B5BE2"/>
    <w:rsid w:val="05D473D2"/>
    <w:rsid w:val="06572FF5"/>
    <w:rsid w:val="06B4543D"/>
    <w:rsid w:val="06C76C7A"/>
    <w:rsid w:val="076B2129"/>
    <w:rsid w:val="0797489E"/>
    <w:rsid w:val="089A04D5"/>
    <w:rsid w:val="089E3A0A"/>
    <w:rsid w:val="08C23B9D"/>
    <w:rsid w:val="091F4B4B"/>
    <w:rsid w:val="096D1D28"/>
    <w:rsid w:val="097841BA"/>
    <w:rsid w:val="09D05E45"/>
    <w:rsid w:val="0A1246B0"/>
    <w:rsid w:val="0C0E4028"/>
    <w:rsid w:val="0C4D5E73"/>
    <w:rsid w:val="0CC872A8"/>
    <w:rsid w:val="0D0C188A"/>
    <w:rsid w:val="0DD028B8"/>
    <w:rsid w:val="0F1D38DB"/>
    <w:rsid w:val="0F2954D4"/>
    <w:rsid w:val="0F4277E5"/>
    <w:rsid w:val="0F5F3EF3"/>
    <w:rsid w:val="10042CED"/>
    <w:rsid w:val="101C3706"/>
    <w:rsid w:val="105B5E6F"/>
    <w:rsid w:val="1211524D"/>
    <w:rsid w:val="13912AE9"/>
    <w:rsid w:val="13C609E5"/>
    <w:rsid w:val="148B3D7C"/>
    <w:rsid w:val="14A73F8D"/>
    <w:rsid w:val="14FB646C"/>
    <w:rsid w:val="154F0566"/>
    <w:rsid w:val="15EB4733"/>
    <w:rsid w:val="16AB2114"/>
    <w:rsid w:val="16AD4D5E"/>
    <w:rsid w:val="16F749D7"/>
    <w:rsid w:val="177644D0"/>
    <w:rsid w:val="1801454C"/>
    <w:rsid w:val="18570964"/>
    <w:rsid w:val="19D36A4C"/>
    <w:rsid w:val="1B302BE8"/>
    <w:rsid w:val="1BCE7B5E"/>
    <w:rsid w:val="1BDB6FF7"/>
    <w:rsid w:val="1C085913"/>
    <w:rsid w:val="1CE84C21"/>
    <w:rsid w:val="1D5A219E"/>
    <w:rsid w:val="1E6A01BF"/>
    <w:rsid w:val="1E6E74A1"/>
    <w:rsid w:val="1E9811D0"/>
    <w:rsid w:val="1F664E2A"/>
    <w:rsid w:val="207D067D"/>
    <w:rsid w:val="214E201A"/>
    <w:rsid w:val="221C5C74"/>
    <w:rsid w:val="23F073B8"/>
    <w:rsid w:val="24BE3012"/>
    <w:rsid w:val="28AA3FD9"/>
    <w:rsid w:val="29EF253D"/>
    <w:rsid w:val="2AA1765E"/>
    <w:rsid w:val="2B593A95"/>
    <w:rsid w:val="2C416A03"/>
    <w:rsid w:val="2C4D37A8"/>
    <w:rsid w:val="2D713318"/>
    <w:rsid w:val="2DBF397E"/>
    <w:rsid w:val="2E3507E9"/>
    <w:rsid w:val="2E586286"/>
    <w:rsid w:val="2E732D46"/>
    <w:rsid w:val="2F095626"/>
    <w:rsid w:val="2F511653"/>
    <w:rsid w:val="303421D1"/>
    <w:rsid w:val="30C145B6"/>
    <w:rsid w:val="318B4315"/>
    <w:rsid w:val="32343038"/>
    <w:rsid w:val="32CE0EA1"/>
    <w:rsid w:val="3301513E"/>
    <w:rsid w:val="33A65CE5"/>
    <w:rsid w:val="33A97BC4"/>
    <w:rsid w:val="34207846"/>
    <w:rsid w:val="3489363D"/>
    <w:rsid w:val="34CC6CA9"/>
    <w:rsid w:val="34F82570"/>
    <w:rsid w:val="37024FE0"/>
    <w:rsid w:val="372C7136"/>
    <w:rsid w:val="37335ED7"/>
    <w:rsid w:val="373D426B"/>
    <w:rsid w:val="37B65D26"/>
    <w:rsid w:val="392033CF"/>
    <w:rsid w:val="39AD1616"/>
    <w:rsid w:val="39FA4695"/>
    <w:rsid w:val="3A5169AB"/>
    <w:rsid w:val="3AC802EF"/>
    <w:rsid w:val="3AE4148A"/>
    <w:rsid w:val="3B021A53"/>
    <w:rsid w:val="3B255741"/>
    <w:rsid w:val="3C6D55F2"/>
    <w:rsid w:val="3C7338EB"/>
    <w:rsid w:val="3CC03974"/>
    <w:rsid w:val="3D36695B"/>
    <w:rsid w:val="3DA037A5"/>
    <w:rsid w:val="3EC60FE9"/>
    <w:rsid w:val="402E6E46"/>
    <w:rsid w:val="40780D71"/>
    <w:rsid w:val="40BA7DDF"/>
    <w:rsid w:val="41743B02"/>
    <w:rsid w:val="41E73751"/>
    <w:rsid w:val="427E2307"/>
    <w:rsid w:val="43776D56"/>
    <w:rsid w:val="43E066A9"/>
    <w:rsid w:val="45034D45"/>
    <w:rsid w:val="471A6376"/>
    <w:rsid w:val="477041E8"/>
    <w:rsid w:val="47D022FE"/>
    <w:rsid w:val="48C540C0"/>
    <w:rsid w:val="4A7162AD"/>
    <w:rsid w:val="4B215F25"/>
    <w:rsid w:val="4B2772B4"/>
    <w:rsid w:val="4BB74194"/>
    <w:rsid w:val="4C235756"/>
    <w:rsid w:val="4C4F6AC2"/>
    <w:rsid w:val="4D142C1B"/>
    <w:rsid w:val="4DBE3EFF"/>
    <w:rsid w:val="4DF417CA"/>
    <w:rsid w:val="4E737085"/>
    <w:rsid w:val="4F2C6C47"/>
    <w:rsid w:val="4F383719"/>
    <w:rsid w:val="50FE0AB7"/>
    <w:rsid w:val="518C60C3"/>
    <w:rsid w:val="51B86EB8"/>
    <w:rsid w:val="521A1920"/>
    <w:rsid w:val="523E560F"/>
    <w:rsid w:val="527E5A0B"/>
    <w:rsid w:val="52FC2DD4"/>
    <w:rsid w:val="531B5950"/>
    <w:rsid w:val="535B3F9E"/>
    <w:rsid w:val="53C75190"/>
    <w:rsid w:val="53F046E7"/>
    <w:rsid w:val="544F2A4A"/>
    <w:rsid w:val="55F12998"/>
    <w:rsid w:val="575925A3"/>
    <w:rsid w:val="57CC3EED"/>
    <w:rsid w:val="584A26E2"/>
    <w:rsid w:val="58E40BFC"/>
    <w:rsid w:val="597D2156"/>
    <w:rsid w:val="599854C9"/>
    <w:rsid w:val="5A813D7F"/>
    <w:rsid w:val="5A8557F3"/>
    <w:rsid w:val="5AC62645"/>
    <w:rsid w:val="5B051CDC"/>
    <w:rsid w:val="5E38780C"/>
    <w:rsid w:val="5E9860A7"/>
    <w:rsid w:val="5F334021"/>
    <w:rsid w:val="5F351B48"/>
    <w:rsid w:val="6054424F"/>
    <w:rsid w:val="62025DCB"/>
    <w:rsid w:val="62777927"/>
    <w:rsid w:val="627E55B4"/>
    <w:rsid w:val="630E54DB"/>
    <w:rsid w:val="636B1FDC"/>
    <w:rsid w:val="637A3FCD"/>
    <w:rsid w:val="65921AA2"/>
    <w:rsid w:val="667F4F0E"/>
    <w:rsid w:val="669E7FD2"/>
    <w:rsid w:val="66CD08B8"/>
    <w:rsid w:val="672229B1"/>
    <w:rsid w:val="68863414"/>
    <w:rsid w:val="68EC14C9"/>
    <w:rsid w:val="69034A64"/>
    <w:rsid w:val="69417FC4"/>
    <w:rsid w:val="698C04EC"/>
    <w:rsid w:val="69994E31"/>
    <w:rsid w:val="6A2E3D63"/>
    <w:rsid w:val="6A555281"/>
    <w:rsid w:val="6AD06BC8"/>
    <w:rsid w:val="6AE0505D"/>
    <w:rsid w:val="6BD8424C"/>
    <w:rsid w:val="6BFF7765"/>
    <w:rsid w:val="6C313697"/>
    <w:rsid w:val="6C613F7C"/>
    <w:rsid w:val="6D317DF2"/>
    <w:rsid w:val="6D51012A"/>
    <w:rsid w:val="6E672362"/>
    <w:rsid w:val="6E9C129B"/>
    <w:rsid w:val="6F0C7A6A"/>
    <w:rsid w:val="6F8F0E00"/>
    <w:rsid w:val="70471D10"/>
    <w:rsid w:val="705D2CAC"/>
    <w:rsid w:val="7090070B"/>
    <w:rsid w:val="70F23E7B"/>
    <w:rsid w:val="71FB09CF"/>
    <w:rsid w:val="72192C03"/>
    <w:rsid w:val="73243F55"/>
    <w:rsid w:val="73AA26AC"/>
    <w:rsid w:val="74546790"/>
    <w:rsid w:val="74646630"/>
    <w:rsid w:val="74E5181F"/>
    <w:rsid w:val="75734D20"/>
    <w:rsid w:val="76200A04"/>
    <w:rsid w:val="764C17F9"/>
    <w:rsid w:val="767D7C04"/>
    <w:rsid w:val="794669D3"/>
    <w:rsid w:val="79A837EA"/>
    <w:rsid w:val="79BD47BC"/>
    <w:rsid w:val="7A152F88"/>
    <w:rsid w:val="7A202B71"/>
    <w:rsid w:val="7A4D1FE3"/>
    <w:rsid w:val="7C7302D4"/>
    <w:rsid w:val="7D31799A"/>
    <w:rsid w:val="7DA261A2"/>
    <w:rsid w:val="7DB55ED6"/>
    <w:rsid w:val="7DEE13E8"/>
    <w:rsid w:val="7E6416AA"/>
    <w:rsid w:val="7EA06B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qFormat/>
    <w:uiPriority w:val="0"/>
    <w:rPr>
      <w:rFonts w:ascii="宋体" w:hAnsi="Courier New"/>
    </w:rPr>
  </w:style>
  <w:style w:type="paragraph" w:styleId="4">
    <w:name w:val="Balloon Text"/>
    <w:basedOn w:val="1"/>
    <w:link w:val="1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character" w:customStyle="1" w:styleId="12">
    <w:name w:val="批注框文本 Char"/>
    <w:basedOn w:val="9"/>
    <w:link w:val="4"/>
    <w:semiHidden/>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页眉 Char"/>
    <w:basedOn w:val="9"/>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8919</Words>
  <Characters>9582</Characters>
  <Lines>47</Lines>
  <Paragraphs>13</Paragraphs>
  <TotalTime>1</TotalTime>
  <ScaleCrop>false</ScaleCrop>
  <LinksUpToDate>false</LinksUpToDate>
  <CharactersWithSpaces>9671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2021-09-06T08:12:00Z</dcterms:created>
  <dc:creator>李航 null</dc:creator>
  <cp:lastModifiedBy>sky丶歆</cp:lastModifiedBy>
  <cp:lastPrinted>2022-04-08T06:28:00Z</cp:lastPrinted>
  <dcterms:modified xsi:type="dcterms:W3CDTF">2023-10-07T09:22:28Z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9B283C42CC3142C0A91DE3826714CD6F_13</vt:lpwstr>
  </property>
</Properties>
</file>