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rPr>
          <w:sz w:val="84"/>
          <w:szCs w:val="84"/>
        </w:rPr>
      </w:pPr>
    </w:p>
    <w:p>
      <w:pPr>
        <w:pStyle w:val="11"/>
        <w:jc w:val="center"/>
        <w:rPr>
          <w:sz w:val="84"/>
          <w:szCs w:val="84"/>
        </w:rPr>
      </w:pPr>
      <w:r>
        <w:rPr>
          <w:rFonts w:hint="eastAsia"/>
          <w:sz w:val="84"/>
          <w:szCs w:val="84"/>
        </w:rPr>
        <w:t>2021年度</w:t>
      </w:r>
    </w:p>
    <w:p>
      <w:pPr>
        <w:pStyle w:val="11"/>
        <w:jc w:val="center"/>
        <w:rPr>
          <w:spacing w:val="-20"/>
          <w:w w:val="90"/>
          <w:sz w:val="84"/>
          <w:szCs w:val="84"/>
        </w:rPr>
      </w:pPr>
      <w:r>
        <w:rPr>
          <w:rFonts w:hint="eastAsia"/>
          <w:spacing w:val="-20"/>
          <w:w w:val="90"/>
          <w:sz w:val="84"/>
          <w:szCs w:val="84"/>
        </w:rPr>
        <w:t>益阳高新区东部产业园</w:t>
      </w:r>
    </w:p>
    <w:p>
      <w:pPr>
        <w:pStyle w:val="11"/>
        <w:jc w:val="center"/>
        <w:rPr>
          <w:b/>
          <w:sz w:val="36"/>
          <w:szCs w:val="28"/>
        </w:rPr>
      </w:pPr>
      <w:r>
        <w:rPr>
          <w:rFonts w:hint="eastAsia"/>
          <w:spacing w:val="-20"/>
          <w:w w:val="90"/>
          <w:sz w:val="84"/>
          <w:szCs w:val="84"/>
        </w:rPr>
        <w:t>办事处部门决算</w:t>
      </w:r>
    </w:p>
    <w:p>
      <w:pPr>
        <w:pStyle w:val="11"/>
        <w:spacing w:line="500" w:lineRule="exact"/>
        <w:jc w:val="center"/>
        <w:rPr>
          <w:b/>
          <w:sz w:val="36"/>
          <w:szCs w:val="28"/>
        </w:rPr>
      </w:pPr>
    </w:p>
    <w:p>
      <w:pPr>
        <w:pStyle w:val="11"/>
        <w:spacing w:line="500" w:lineRule="exact"/>
        <w:jc w:val="center"/>
        <w:rPr>
          <w:b/>
          <w:sz w:val="36"/>
          <w:szCs w:val="28"/>
        </w:rPr>
      </w:pPr>
    </w:p>
    <w:p>
      <w:pPr>
        <w:pStyle w:val="11"/>
        <w:spacing w:line="500" w:lineRule="exact"/>
        <w:jc w:val="center"/>
        <w:rPr>
          <w:b/>
          <w:sz w:val="36"/>
          <w:szCs w:val="28"/>
        </w:rPr>
      </w:pPr>
      <w:r>
        <w:rPr>
          <w:rFonts w:hint="eastAsia"/>
          <w:b/>
          <w:sz w:val="36"/>
          <w:szCs w:val="28"/>
        </w:rPr>
        <w:t>目录</w:t>
      </w:r>
    </w:p>
    <w:p>
      <w:pPr>
        <w:pStyle w:val="11"/>
        <w:spacing w:line="500" w:lineRule="exact"/>
        <w:rPr>
          <w:rFonts w:ascii="仿宋_GB2312" w:hAnsi="仿宋_GB2312" w:cs="仿宋_GB2312"/>
          <w:b/>
          <w:sz w:val="28"/>
          <w:szCs w:val="28"/>
        </w:rPr>
      </w:pPr>
      <w:r>
        <w:rPr>
          <w:rFonts w:hint="eastAsia"/>
          <w:b/>
          <w:sz w:val="28"/>
          <w:szCs w:val="28"/>
        </w:rPr>
        <w:t>第一部分 益阳高新区东部产业园办事处单位概况</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一、部门职责</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二、机构设置</w:t>
      </w:r>
    </w:p>
    <w:p>
      <w:pPr>
        <w:pStyle w:val="11"/>
        <w:spacing w:line="50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三、部门决算单位构成</w:t>
      </w:r>
    </w:p>
    <w:p>
      <w:pPr>
        <w:pStyle w:val="11"/>
        <w:spacing w:line="500" w:lineRule="exact"/>
        <w:rPr>
          <w:rFonts w:ascii="仿宋_GB2312" w:hAnsi="仿宋_GB2312" w:cs="仿宋_GB2312"/>
          <w:b/>
          <w:sz w:val="28"/>
          <w:szCs w:val="28"/>
        </w:rPr>
      </w:pPr>
      <w:r>
        <w:rPr>
          <w:rFonts w:hint="eastAsia" w:hAnsi="仿宋_GB2312"/>
          <w:b/>
          <w:sz w:val="28"/>
          <w:szCs w:val="28"/>
        </w:rPr>
        <w:t xml:space="preserve">第二部分 </w:t>
      </w:r>
      <w:r>
        <w:rPr>
          <w:rFonts w:hAnsi="仿宋_GB2312"/>
          <w:b/>
          <w:sz w:val="28"/>
          <w:szCs w:val="28"/>
        </w:rPr>
        <w:t>20</w:t>
      </w:r>
      <w:r>
        <w:rPr>
          <w:rFonts w:hint="eastAsia" w:hAnsi="仿宋_GB2312"/>
          <w:b/>
          <w:sz w:val="28"/>
          <w:szCs w:val="28"/>
        </w:rPr>
        <w:t>2</w:t>
      </w:r>
      <w:r>
        <w:rPr>
          <w:rFonts w:hAnsi="仿宋_GB2312"/>
          <w:b/>
          <w:sz w:val="28"/>
          <w:szCs w:val="28"/>
        </w:rPr>
        <w:t>1</w:t>
      </w:r>
      <w:r>
        <w:rPr>
          <w:rFonts w:hint="eastAsia" w:hAnsi="仿宋_GB2312"/>
          <w:b/>
          <w:sz w:val="28"/>
          <w:szCs w:val="28"/>
        </w:rPr>
        <w:t>年度部门决算表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一、收入支出决算总表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二、收入决算表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三、支出决算表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四、财政拨款收入支出决算总表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五、一般公共预算财政拨款支出决算表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六、一般公共预算财政拨款基本支出决算表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七、一般公共预算财政拨款“三公”经费支出决算表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八、政府性基金预算财政拨款收入支出决算表</w:t>
      </w:r>
    </w:p>
    <w:p>
      <w:pPr>
        <w:pStyle w:val="11"/>
        <w:spacing w:line="50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九、国有资本经营预算财政拨款支出决算表</w:t>
      </w:r>
    </w:p>
    <w:p>
      <w:pPr>
        <w:pStyle w:val="11"/>
        <w:spacing w:line="500" w:lineRule="exact"/>
        <w:rPr>
          <w:rFonts w:ascii="仿宋_GB2312" w:hAnsi="仿宋_GB2312" w:cs="仿宋_GB2312"/>
          <w:b/>
          <w:sz w:val="28"/>
          <w:szCs w:val="28"/>
        </w:rPr>
      </w:pPr>
      <w:r>
        <w:rPr>
          <w:rFonts w:hint="eastAsia" w:hAnsi="仿宋_GB2312"/>
          <w:b/>
          <w:sz w:val="28"/>
          <w:szCs w:val="28"/>
        </w:rPr>
        <w:t xml:space="preserve">第三部分 </w:t>
      </w:r>
      <w:r>
        <w:rPr>
          <w:rFonts w:hAnsi="仿宋_GB2312"/>
          <w:b/>
          <w:sz w:val="28"/>
          <w:szCs w:val="28"/>
        </w:rPr>
        <w:t>20</w:t>
      </w:r>
      <w:r>
        <w:rPr>
          <w:rFonts w:hint="eastAsia" w:hAnsi="仿宋_GB2312"/>
          <w:b/>
          <w:sz w:val="28"/>
          <w:szCs w:val="28"/>
        </w:rPr>
        <w:t>2</w:t>
      </w:r>
      <w:r>
        <w:rPr>
          <w:rFonts w:hAnsi="仿宋_GB2312"/>
          <w:b/>
          <w:sz w:val="28"/>
          <w:szCs w:val="28"/>
        </w:rPr>
        <w:t>1</w:t>
      </w:r>
      <w:r>
        <w:rPr>
          <w:rFonts w:hint="eastAsia" w:hAnsi="仿宋_GB2312"/>
          <w:b/>
          <w:sz w:val="28"/>
          <w:szCs w:val="28"/>
        </w:rPr>
        <w:t>年度部门决算情况说明</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一、收入支出决算总体情况说明</w:t>
      </w:r>
    </w:p>
    <w:p>
      <w:pPr>
        <w:spacing w:line="50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关于机关运行经费支出说明</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十、一般性支出情况</w:t>
      </w:r>
    </w:p>
    <w:p>
      <w:pPr>
        <w:autoSpaceDE w:val="0"/>
        <w:autoSpaceDN w:val="0"/>
        <w:adjustRightInd w:val="0"/>
        <w:spacing w:line="50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十一、关于政府采购支出说明</w:t>
      </w:r>
    </w:p>
    <w:p>
      <w:pPr>
        <w:pStyle w:val="11"/>
        <w:spacing w:line="500" w:lineRule="exact"/>
        <w:ind w:firstLine="700" w:firstLineChars="250"/>
        <w:rPr>
          <w:rFonts w:ascii="仿宋_GB2312" w:hAnsi="仿宋_GB2312" w:eastAsia="宋体" w:cs="仿宋_GB2312"/>
          <w:sz w:val="28"/>
          <w:szCs w:val="28"/>
        </w:rPr>
      </w:pPr>
      <w:r>
        <w:rPr>
          <w:rFonts w:hint="eastAsia" w:ascii="仿宋_GB2312" w:hAnsi="仿宋_GB2312" w:eastAsia="宋体" w:cs="仿宋_GB2312"/>
          <w:sz w:val="28"/>
          <w:szCs w:val="28"/>
        </w:rPr>
        <w:t>十二、关于国有资产占用情况说明</w:t>
      </w:r>
    </w:p>
    <w:p>
      <w:pPr>
        <w:pStyle w:val="11"/>
        <w:spacing w:line="500" w:lineRule="exact"/>
        <w:ind w:firstLine="700" w:firstLineChars="250"/>
        <w:rPr>
          <w:rFonts w:ascii="仿宋_GB2312" w:hAnsi="仿宋_GB2312" w:eastAsia="宋体" w:cs="仿宋_GB2312"/>
          <w:sz w:val="28"/>
          <w:szCs w:val="28"/>
        </w:rPr>
      </w:pPr>
      <w:r>
        <w:rPr>
          <w:rFonts w:hint="eastAsia" w:ascii="仿宋_GB2312" w:hAnsi="仿宋_GB2312" w:eastAsia="宋体" w:cs="仿宋_GB2312"/>
          <w:sz w:val="28"/>
          <w:szCs w:val="28"/>
        </w:rPr>
        <w:t>十三、关</w:t>
      </w:r>
      <w:r>
        <w:rPr>
          <w:rFonts w:hint="eastAsia" w:ascii="宋体" w:hAnsi="宋体" w:eastAsia="宋体" w:cs="仿宋_GB2312"/>
          <w:sz w:val="28"/>
          <w:szCs w:val="28"/>
        </w:rPr>
        <w:t>于2021年</w:t>
      </w:r>
      <w:r>
        <w:rPr>
          <w:rFonts w:hint="eastAsia" w:ascii="仿宋_GB2312" w:hAnsi="仿宋_GB2312" w:eastAsia="宋体" w:cs="仿宋_GB2312"/>
          <w:sz w:val="28"/>
          <w:szCs w:val="28"/>
        </w:rPr>
        <w:t>度预算绩效情况的说明</w:t>
      </w:r>
    </w:p>
    <w:p>
      <w:pPr>
        <w:autoSpaceDE w:val="0"/>
        <w:autoSpaceDN w:val="0"/>
        <w:adjustRightInd w:val="0"/>
        <w:spacing w:line="500" w:lineRule="exact"/>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第四部分</w:t>
      </w:r>
      <w:r>
        <w:rPr>
          <w:rFonts w:hint="eastAsia" w:ascii="黑体" w:hAnsi="黑体" w:eastAsia="黑体" w:cs="黑体"/>
          <w:b/>
          <w:color w:val="000000"/>
          <w:kern w:val="0"/>
          <w:sz w:val="28"/>
          <w:szCs w:val="28"/>
        </w:rPr>
        <w:t xml:space="preserve"> </w:t>
      </w:r>
      <w:r>
        <w:rPr>
          <w:rFonts w:ascii="黑体" w:hAnsi="黑体" w:eastAsia="黑体" w:cs="黑体"/>
          <w:b/>
          <w:color w:val="000000"/>
          <w:kern w:val="0"/>
          <w:sz w:val="28"/>
          <w:szCs w:val="28"/>
        </w:rPr>
        <w:t>名词解释</w:t>
      </w:r>
    </w:p>
    <w:p>
      <w:pPr>
        <w:autoSpaceDE w:val="0"/>
        <w:autoSpaceDN w:val="0"/>
        <w:adjustRightInd w:val="0"/>
        <w:spacing w:line="500" w:lineRule="exact"/>
        <w:jc w:val="left"/>
        <w:rPr>
          <w:rFonts w:ascii="黑体" w:hAnsi="黑体" w:eastAsia="黑体" w:cs="仿宋_GB2312"/>
          <w:b/>
          <w:color w:val="000000"/>
          <w:kern w:val="0"/>
          <w:sz w:val="28"/>
          <w:szCs w:val="28"/>
        </w:rPr>
      </w:pPr>
      <w:r>
        <w:rPr>
          <w:rFonts w:hint="eastAsia" w:ascii="黑体" w:hAnsi="黑体" w:eastAsia="黑体" w:cs="黑体"/>
          <w:b/>
          <w:color w:val="000000"/>
          <w:kern w:val="0"/>
          <w:sz w:val="28"/>
          <w:szCs w:val="28"/>
        </w:rPr>
        <w:t>第五部分 附件</w:t>
      </w:r>
    </w:p>
    <w:p>
      <w:pPr>
        <w:rPr>
          <w:sz w:val="72"/>
          <w:szCs w:val="72"/>
        </w:rPr>
      </w:pPr>
    </w:p>
    <w:p>
      <w:pPr>
        <w:pStyle w:val="11"/>
        <w:jc w:val="center"/>
        <w:rPr>
          <w:sz w:val="84"/>
          <w:szCs w:val="84"/>
        </w:rPr>
      </w:pPr>
    </w:p>
    <w:p>
      <w:pPr>
        <w:pStyle w:val="11"/>
        <w:jc w:val="center"/>
        <w:rPr>
          <w:sz w:val="84"/>
          <w:szCs w:val="84"/>
        </w:rPr>
      </w:pPr>
    </w:p>
    <w:p>
      <w:pPr>
        <w:pStyle w:val="11"/>
        <w:jc w:val="center"/>
        <w:rPr>
          <w:sz w:val="84"/>
          <w:szCs w:val="84"/>
        </w:rPr>
      </w:pPr>
    </w:p>
    <w:p>
      <w:pPr>
        <w:pStyle w:val="11"/>
        <w:jc w:val="center"/>
        <w:rPr>
          <w:sz w:val="84"/>
          <w:szCs w:val="84"/>
        </w:rPr>
      </w:pPr>
    </w:p>
    <w:p>
      <w:pPr>
        <w:pStyle w:val="11"/>
        <w:jc w:val="center"/>
        <w:rPr>
          <w:sz w:val="84"/>
          <w:szCs w:val="84"/>
        </w:rPr>
      </w:pPr>
      <w:r>
        <w:rPr>
          <w:rFonts w:hint="eastAsia"/>
          <w:sz w:val="84"/>
          <w:szCs w:val="84"/>
        </w:rPr>
        <w:t>第一部分</w:t>
      </w:r>
    </w:p>
    <w:p>
      <w:pPr>
        <w:pStyle w:val="11"/>
        <w:jc w:val="center"/>
        <w:rPr>
          <w:sz w:val="84"/>
          <w:szCs w:val="84"/>
        </w:rPr>
      </w:pPr>
    </w:p>
    <w:p>
      <w:pPr>
        <w:pStyle w:val="11"/>
        <w:jc w:val="center"/>
        <w:rPr>
          <w:sz w:val="72"/>
          <w:szCs w:val="72"/>
        </w:rPr>
      </w:pPr>
      <w:r>
        <w:rPr>
          <w:rFonts w:hint="eastAsia"/>
          <w:sz w:val="72"/>
          <w:szCs w:val="72"/>
        </w:rPr>
        <w:t>益阳高新区东部产业园</w:t>
      </w:r>
    </w:p>
    <w:p>
      <w:pPr>
        <w:pStyle w:val="11"/>
        <w:jc w:val="center"/>
        <w:rPr>
          <w:sz w:val="72"/>
          <w:szCs w:val="72"/>
        </w:rPr>
      </w:pPr>
      <w:r>
        <w:rPr>
          <w:rFonts w:hint="eastAsia"/>
          <w:sz w:val="72"/>
          <w:szCs w:val="72"/>
        </w:rPr>
        <w:t>办事处单位概况</w:t>
      </w:r>
    </w:p>
    <w:p>
      <w:pPr>
        <w:jc w:val="left"/>
        <w:rPr>
          <w:rFonts w:ascii="黑体" w:hAnsi="黑体" w:eastAsia="黑体"/>
          <w:sz w:val="32"/>
          <w:szCs w:val="32"/>
        </w:rPr>
      </w:pPr>
    </w:p>
    <w:p>
      <w:pPr>
        <w:widowControl/>
        <w:spacing w:line="600" w:lineRule="exact"/>
        <w:rPr>
          <w:rFonts w:ascii="黑体" w:hAnsi="黑体" w:eastAsia="黑体"/>
          <w:bCs/>
          <w:kern w:val="0"/>
          <w:sz w:val="32"/>
          <w:szCs w:val="32"/>
        </w:rPr>
      </w:pPr>
      <w:r>
        <w:rPr>
          <w:rFonts w:ascii="黑体" w:hAnsi="黑体" w:eastAsia="黑体"/>
          <w:bCs/>
          <w:kern w:val="0"/>
          <w:sz w:val="32"/>
          <w:szCs w:val="32"/>
        </w:rPr>
        <w:t>一、部门职责</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（一）负责益阳高新区东部产业园辖区内村组党建、计划生育、武装、信访、卫生、经营管理、财务审计工作；</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（二）牵头负责查违拆违和城管执法；</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（三）负责辖区内经济建设软环境建设；</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（四）负责办事处、村（资管委）、社区干部的思想政治工作和村支两委的班子建设；</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（五）负责村级干部的考察、考核，按干部管理程序进行任免和奖惩；</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（六）管理办事处下辖村的行政社会事务；</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（七）负责农业生产和科技的推广应用及村级经济的发展工作；</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（八）负责村企业的管理、发展及服务工作；</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（九）协助农业、水利、民政、科技文教等工作，完成主管部门下达的年度人口控制计划；</w:t>
      </w:r>
    </w:p>
    <w:p>
      <w:pPr>
        <w:spacing w:line="520" w:lineRule="exact"/>
        <w:ind w:firstLine="640" w:firstLineChars="200"/>
        <w:rPr>
          <w:rFonts w:ascii="仿宋_GB2312" w:hAnsi="宋体" w:eastAsia="仿宋_GB2312"/>
          <w:sz w:val="28"/>
          <w:szCs w:val="32"/>
        </w:rPr>
      </w:pPr>
      <w:r>
        <w:rPr>
          <w:rFonts w:hint="eastAsia" w:ascii="仿宋" w:hAnsi="仿宋" w:eastAsia="仿宋"/>
          <w:sz w:val="32"/>
        </w:rPr>
        <w:t>（十）负责辖区内征地拆迁安置工作。</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w:t>
      </w:r>
    </w:p>
    <w:p>
      <w:pPr>
        <w:widowControl/>
        <w:spacing w:line="600" w:lineRule="exact"/>
        <w:ind w:firstLine="640" w:firstLineChars="200"/>
        <w:rPr>
          <w:rFonts w:ascii="宋体" w:hAnsi="宋体"/>
          <w:bCs/>
          <w:kern w:val="0"/>
          <w:sz w:val="32"/>
          <w:szCs w:val="32"/>
        </w:rPr>
      </w:pPr>
      <w:r>
        <w:rPr>
          <w:rFonts w:hint="eastAsia" w:ascii="宋体" w:hAnsi="宋体"/>
          <w:bCs/>
          <w:kern w:val="0"/>
          <w:sz w:val="32"/>
          <w:szCs w:val="32"/>
        </w:rPr>
        <w:t>内设机构设置。益阳高新区东部产业园办事处内设机构包括：办公室、社会治安与应急管理办、农村经济发展办、政务服务中心、社会事务办、拆迁安置办、征地与施工环境协调办、规划执法中队、纪检监察室。</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三、部门决算单位构成</w:t>
      </w:r>
    </w:p>
    <w:p>
      <w:pPr>
        <w:widowControl/>
        <w:spacing w:line="600" w:lineRule="exact"/>
        <w:ind w:firstLine="640" w:firstLineChars="200"/>
        <w:rPr>
          <w:rFonts w:ascii="黑体" w:eastAsia="黑体" w:cs="黑体"/>
          <w:color w:val="000000"/>
          <w:kern w:val="0"/>
          <w:sz w:val="84"/>
          <w:szCs w:val="84"/>
        </w:rPr>
      </w:pPr>
      <w:r>
        <w:rPr>
          <w:rFonts w:hint="eastAsia" w:ascii="宋体" w:hAnsi="宋体"/>
          <w:bCs/>
          <w:kern w:val="0"/>
          <w:sz w:val="32"/>
          <w:szCs w:val="32"/>
        </w:rPr>
        <w:t>益阳高新区东部产业园办事处</w:t>
      </w:r>
      <w:r>
        <w:rPr>
          <w:rFonts w:ascii="宋体" w:hAnsi="宋体"/>
          <w:bCs/>
          <w:kern w:val="0"/>
          <w:sz w:val="32"/>
          <w:szCs w:val="32"/>
        </w:rPr>
        <w:t>20</w:t>
      </w:r>
      <w:r>
        <w:rPr>
          <w:rFonts w:hint="eastAsia" w:ascii="宋体" w:hAnsi="宋体"/>
          <w:bCs/>
          <w:kern w:val="0"/>
          <w:sz w:val="32"/>
          <w:szCs w:val="32"/>
        </w:rPr>
        <w:t>21年部门决算汇总公开单位构成包括：益阳高新区东部产业园办事处本级。</w:t>
      </w: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p>
    <w:p>
      <w:pPr>
        <w:jc w:val="center"/>
        <w:rPr>
          <w:rFonts w:ascii="黑体" w:eastAsia="黑体" w:cs="黑体"/>
          <w:color w:val="000000"/>
          <w:kern w:val="0"/>
          <w:sz w:val="84"/>
          <w:szCs w:val="84"/>
        </w:rPr>
      </w:pPr>
      <w:r>
        <w:rPr>
          <w:rFonts w:hint="eastAsia" w:ascii="黑体" w:eastAsia="黑体" w:cs="黑体"/>
          <w:color w:val="000000"/>
          <w:kern w:val="0"/>
          <w:sz w:val="84"/>
          <w:szCs w:val="84"/>
        </w:rPr>
        <w:t>第二部分</w:t>
      </w:r>
    </w:p>
    <w:p>
      <w:pPr>
        <w:jc w:val="center"/>
        <w:rPr>
          <w:rFonts w:ascii="黑体" w:eastAsia="黑体" w:cs="黑体"/>
          <w:color w:val="000000"/>
          <w:kern w:val="0"/>
          <w:sz w:val="84"/>
          <w:szCs w:val="84"/>
        </w:rPr>
      </w:pPr>
    </w:p>
    <w:p>
      <w:pPr>
        <w:jc w:val="center"/>
        <w:rPr>
          <w:rFonts w:ascii="宋体" w:hAnsi="宋体" w:cs="仿宋_GB2312"/>
          <w:color w:val="000000"/>
          <w:kern w:val="0"/>
          <w:sz w:val="28"/>
          <w:szCs w:val="28"/>
        </w:rPr>
      </w:pPr>
      <w:r>
        <w:rPr>
          <w:rFonts w:hint="eastAsia" w:ascii="黑体" w:eastAsia="黑体" w:cs="黑体"/>
          <w:color w:val="000000"/>
          <w:kern w:val="0"/>
          <w:sz w:val="84"/>
          <w:szCs w:val="84"/>
        </w:rPr>
        <w:t>部门决算表</w:t>
      </w:r>
    </w:p>
    <w:p>
      <w:pPr>
        <w:jc w:val="center"/>
        <w:rPr>
          <w:rFonts w:ascii="宋体" w:hAnsi="宋体" w:cs="仿宋_GB2312"/>
          <w:color w:val="000000"/>
          <w:kern w:val="0"/>
          <w:sz w:val="28"/>
          <w:szCs w:val="28"/>
        </w:rPr>
      </w:pPr>
    </w:p>
    <w:p>
      <w:pPr>
        <w:rPr>
          <w:rFonts w:ascii="宋体" w:hAnsi="宋体" w:cs="仿宋_GB2312"/>
          <w:color w:val="000000"/>
          <w:kern w:val="0"/>
          <w:sz w:val="28"/>
          <w:szCs w:val="28"/>
        </w:rPr>
      </w:pP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一、收入支出决算总表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二、收入决算表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三、支出决算表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四、财政拨款收入支出决算总表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五、一般公共预算财政拨款支出决算表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六、一般公共预算财政拨款基本支出决算表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七、一般公共预算财政拨款“三公”经费支出决算表</w:t>
      </w:r>
    </w:p>
    <w:p>
      <w:pPr>
        <w:pStyle w:val="11"/>
        <w:spacing w:line="500" w:lineRule="exact"/>
        <w:ind w:firstLine="700" w:firstLineChars="250"/>
        <w:rPr>
          <w:rFonts w:ascii="宋体" w:hAnsi="宋体" w:eastAsia="宋体" w:cs="仿宋_GB2312"/>
          <w:sz w:val="28"/>
          <w:szCs w:val="28"/>
        </w:rPr>
      </w:pPr>
      <w:r>
        <w:rPr>
          <w:rFonts w:ascii="宋体" w:hAnsi="宋体" w:eastAsia="宋体" w:cs="仿宋_GB2312"/>
          <w:sz w:val="28"/>
          <w:szCs w:val="28"/>
        </w:rPr>
        <w:t>八、政府性基金预算财政拨款收入支出决算表</w:t>
      </w:r>
    </w:p>
    <w:p>
      <w:pPr>
        <w:pStyle w:val="11"/>
        <w:spacing w:line="500" w:lineRule="exact"/>
        <w:ind w:firstLine="700" w:firstLineChars="250"/>
        <w:rPr>
          <w:rFonts w:ascii="宋体" w:hAnsi="宋体" w:eastAsia="宋体" w:cs="仿宋_GB2312"/>
          <w:sz w:val="28"/>
          <w:szCs w:val="28"/>
        </w:rPr>
      </w:pPr>
      <w:r>
        <w:rPr>
          <w:rFonts w:hint="eastAsia" w:ascii="宋体" w:hAnsi="宋体" w:eastAsia="宋体" w:cs="仿宋_GB2312"/>
          <w:sz w:val="28"/>
          <w:szCs w:val="28"/>
        </w:rPr>
        <w:t>九、国有资本经营预算财政拨款支出决算表</w:t>
      </w:r>
    </w:p>
    <w:p>
      <w:pPr>
        <w:jc w:val="center"/>
        <w:rPr>
          <w:rFonts w:ascii="黑体" w:hAnsi="黑体" w:eastAsia="黑体"/>
          <w:sz w:val="28"/>
          <w:szCs w:val="28"/>
        </w:rPr>
        <w:sectPr>
          <w:pgSz w:w="11906" w:h="16838"/>
          <w:pgMar w:top="1440" w:right="1797" w:bottom="1440" w:left="1797" w:header="851" w:footer="992" w:gutter="0"/>
          <w:cols w:space="720" w:num="1"/>
          <w:docGrid w:type="linesAndChars" w:linePitch="312" w:charSpace="0"/>
        </w:sectPr>
      </w:pPr>
    </w:p>
    <w:p>
      <w:pPr>
        <w:pStyle w:val="11"/>
        <w:rPr>
          <w:sz w:val="72"/>
          <w:szCs w:val="72"/>
        </w:rPr>
      </w:pPr>
    </w:p>
    <w:p>
      <w:pPr>
        <w:pStyle w:val="11"/>
        <w:jc w:val="center"/>
        <w:rPr>
          <w:sz w:val="72"/>
          <w:szCs w:val="72"/>
        </w:rPr>
      </w:pPr>
      <w:r>
        <w:rPr>
          <w:rFonts w:hint="eastAsia"/>
          <w:sz w:val="72"/>
          <w:szCs w:val="72"/>
        </w:rPr>
        <w:t>第三部分</w:t>
      </w:r>
    </w:p>
    <w:p>
      <w:pPr>
        <w:pStyle w:val="11"/>
        <w:jc w:val="center"/>
        <w:rPr>
          <w:sz w:val="70"/>
          <w:szCs w:val="70"/>
        </w:rPr>
      </w:pPr>
    </w:p>
    <w:p>
      <w:pPr>
        <w:pStyle w:val="11"/>
        <w:jc w:val="center"/>
        <w:rPr>
          <w:sz w:val="70"/>
          <w:szCs w:val="70"/>
        </w:rPr>
      </w:pPr>
      <w:r>
        <w:rPr>
          <w:sz w:val="70"/>
          <w:szCs w:val="70"/>
        </w:rPr>
        <w:t>20</w:t>
      </w:r>
      <w:r>
        <w:rPr>
          <w:rFonts w:hint="eastAsia"/>
          <w:sz w:val="70"/>
          <w:szCs w:val="70"/>
        </w:rPr>
        <w:t>21年度部门决算情况说明</w:t>
      </w:r>
    </w:p>
    <w:p>
      <w:pPr>
        <w:widowControl/>
        <w:jc w:val="left"/>
        <w:rPr>
          <w:rFonts w:ascii="黑体" w:eastAsia="黑体" w:cs="黑体"/>
          <w:color w:val="000000"/>
          <w:kern w:val="0"/>
          <w:sz w:val="70"/>
          <w:szCs w:val="70"/>
        </w:rPr>
      </w:pPr>
    </w:p>
    <w:p>
      <w:pPr>
        <w:pStyle w:val="11"/>
        <w:rPr>
          <w:rFonts w:hAnsi="黑体"/>
          <w:b/>
          <w:sz w:val="32"/>
          <w:szCs w:val="32"/>
        </w:rPr>
      </w:pPr>
      <w:r>
        <w:rPr>
          <w:rFonts w:hint="eastAsia" w:hAnsi="黑体"/>
          <w:b/>
          <w:sz w:val="32"/>
          <w:szCs w:val="32"/>
        </w:rPr>
        <w:t>一、收入支出决算总体情况说明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2021年度收入总计1586.40万元，与上年相比，</w:t>
      </w:r>
      <w:r>
        <w:rPr>
          <w:rFonts w:hint="eastAsia" w:ascii="宋体" w:hAnsi="宋体" w:eastAsia="宋体"/>
          <w:sz w:val="32"/>
          <w:szCs w:val="32"/>
          <w:highlight w:val="none"/>
        </w:rPr>
        <w:t>增加76.63万元，增长5</w:t>
      </w:r>
      <w:r>
        <w:rPr>
          <w:rFonts w:hint="eastAsia" w:ascii="宋体" w:hAnsi="宋体" w:eastAsia="宋体"/>
          <w:sz w:val="32"/>
          <w:szCs w:val="32"/>
          <w:highlight w:val="none"/>
          <w:lang w:val="en-US" w:eastAsia="zh-CN"/>
        </w:rPr>
        <w:t>.08</w:t>
      </w:r>
      <w:r>
        <w:rPr>
          <w:rFonts w:hint="eastAsia" w:ascii="宋体" w:hAnsi="宋体" w:eastAsia="宋体"/>
          <w:sz w:val="32"/>
          <w:szCs w:val="32"/>
          <w:highlight w:val="none"/>
        </w:rPr>
        <w:t>%；支出总计1586.4万元，与上年相比增加66.20万元，增长</w:t>
      </w:r>
      <w:r>
        <w:rPr>
          <w:rFonts w:hint="eastAsia" w:ascii="宋体" w:hAnsi="宋体" w:eastAsia="宋体"/>
          <w:sz w:val="32"/>
          <w:szCs w:val="32"/>
          <w:highlight w:val="none"/>
          <w:lang w:val="en-US" w:eastAsia="zh-CN"/>
        </w:rPr>
        <w:t>4.35</w:t>
      </w:r>
      <w:r>
        <w:rPr>
          <w:rFonts w:hint="eastAsia" w:ascii="宋体" w:hAnsi="宋体" w:eastAsia="宋体"/>
          <w:sz w:val="32"/>
          <w:szCs w:val="32"/>
          <w:highlight w:val="none"/>
        </w:rPr>
        <w:t>%</w:t>
      </w:r>
      <w:r>
        <w:rPr>
          <w:rFonts w:hint="eastAsia" w:ascii="宋体" w:hAnsi="宋体" w:eastAsia="宋体"/>
          <w:sz w:val="32"/>
          <w:szCs w:val="32"/>
          <w:highlight w:val="none"/>
          <w:lang w:eastAsia="zh-CN"/>
        </w:rPr>
        <w:t>；上年结转</w:t>
      </w:r>
      <w:r>
        <w:rPr>
          <w:rFonts w:hint="eastAsia" w:ascii="宋体" w:hAnsi="宋体" w:eastAsia="宋体"/>
          <w:sz w:val="32"/>
          <w:szCs w:val="32"/>
          <w:highlight w:val="none"/>
          <w:lang w:val="en-US" w:eastAsia="zh-CN"/>
        </w:rPr>
        <w:t>10.43万元</w:t>
      </w:r>
      <w:r>
        <w:rPr>
          <w:rFonts w:hint="eastAsia" w:ascii="宋体" w:hAnsi="宋体" w:eastAsia="宋体"/>
          <w:sz w:val="32"/>
          <w:szCs w:val="32"/>
          <w:highlight w:val="none"/>
        </w:rPr>
        <w:t>。</w:t>
      </w:r>
      <w:r>
        <w:rPr>
          <w:rFonts w:hint="eastAsia" w:ascii="宋体" w:hAnsi="宋体" w:eastAsia="宋体"/>
          <w:sz w:val="32"/>
          <w:szCs w:val="32"/>
        </w:rPr>
        <w:t>收入增加主要是因为将增加的借调人员和临时聘请人员经费纳入预算，同时由于新引进项目增加，征地拆迁任务加大，上级部门拨入的征地拆迁工作经费相应增加以及干职工工资正常提标；支出增加主要原因是因工作需要增加借调人员和临时聘请人员、干职工工资正常提标、农村公益事业建设和生活污水整治增加了相应的支出。</w:t>
      </w:r>
    </w:p>
    <w:p>
      <w:pPr>
        <w:pStyle w:val="11"/>
        <w:rPr>
          <w:rFonts w:hAnsi="黑体"/>
          <w:b/>
          <w:sz w:val="32"/>
          <w:szCs w:val="32"/>
        </w:rPr>
      </w:pPr>
      <w:r>
        <w:rPr>
          <w:rFonts w:hint="eastAsia" w:hAnsi="黑体"/>
          <w:b/>
          <w:sz w:val="32"/>
          <w:szCs w:val="32"/>
        </w:rPr>
        <w:t>二、收入决算情况说明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本年收入</w:t>
      </w:r>
      <w:r>
        <w:rPr>
          <w:rFonts w:hint="eastAsia" w:ascii="宋体" w:hAnsi="宋体" w:eastAsia="宋体"/>
          <w:sz w:val="32"/>
          <w:szCs w:val="32"/>
          <w:lang w:eastAsia="zh-CN"/>
        </w:rPr>
        <w:t>总</w:t>
      </w:r>
      <w:r>
        <w:rPr>
          <w:rFonts w:hint="eastAsia" w:ascii="宋体" w:hAnsi="宋体" w:eastAsia="宋体"/>
          <w:sz w:val="32"/>
          <w:szCs w:val="32"/>
        </w:rPr>
        <w:t>计1586.40万元，其中：财政拨款收入1515.75万元，占95.5%；上级补助收入0万元，占0%；事业收入0万元，占0%；经营收入0万元，占0%；附属单位上缴收入0万元，占0%；其他收入70.64万元，占4.5%。</w:t>
      </w:r>
    </w:p>
    <w:p>
      <w:pPr>
        <w:pStyle w:val="11"/>
        <w:rPr>
          <w:rFonts w:hAnsi="黑体"/>
          <w:b/>
          <w:sz w:val="32"/>
          <w:szCs w:val="32"/>
        </w:rPr>
      </w:pPr>
      <w:r>
        <w:rPr>
          <w:rFonts w:hint="eastAsia" w:hAnsi="黑体"/>
          <w:b/>
          <w:sz w:val="32"/>
          <w:szCs w:val="32"/>
        </w:rPr>
        <w:t>三、支出决算情况说明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本年支出</w:t>
      </w:r>
      <w:r>
        <w:rPr>
          <w:rFonts w:hint="eastAsia" w:ascii="宋体" w:hAnsi="宋体" w:eastAsia="宋体"/>
          <w:sz w:val="32"/>
          <w:szCs w:val="32"/>
          <w:lang w:eastAsia="zh-CN"/>
        </w:rPr>
        <w:t>总</w:t>
      </w:r>
      <w:r>
        <w:rPr>
          <w:rFonts w:hint="eastAsia" w:ascii="宋体" w:hAnsi="宋体" w:eastAsia="宋体"/>
          <w:sz w:val="32"/>
          <w:szCs w:val="32"/>
        </w:rPr>
        <w:t>计1586.40万元，其中：基本支出518.79万元，占32.7%；项目支出1067.60万元，占67.3%；上缴上级支出0万元，占0%；经营支出0万元，占0%；对附属单位补助支出0万元，占0%。</w:t>
      </w:r>
    </w:p>
    <w:p>
      <w:pPr>
        <w:pStyle w:val="11"/>
        <w:rPr>
          <w:rFonts w:hAnsi="黑体"/>
          <w:b/>
          <w:sz w:val="32"/>
          <w:szCs w:val="32"/>
        </w:rPr>
      </w:pPr>
      <w:r>
        <w:rPr>
          <w:rFonts w:hint="eastAsia" w:hAnsi="黑体"/>
          <w:b/>
          <w:sz w:val="32"/>
          <w:szCs w:val="32"/>
        </w:rPr>
        <w:t>四、财政拨款收入支出决算总体情况说明</w:t>
      </w:r>
    </w:p>
    <w:p>
      <w:pPr>
        <w:pStyle w:val="11"/>
        <w:ind w:firstLine="640" w:firstLineChars="200"/>
        <w:rPr>
          <w:rFonts w:ascii="宋体" w:hAnsi="宋体" w:eastAsia="宋体"/>
          <w:sz w:val="32"/>
          <w:szCs w:val="32"/>
        </w:rPr>
      </w:pPr>
      <w:r>
        <w:rPr>
          <w:rFonts w:hint="eastAsia" w:ascii="宋体" w:hAnsi="宋体" w:eastAsia="宋体"/>
          <w:sz w:val="32"/>
          <w:szCs w:val="32"/>
        </w:rPr>
        <w:t>2021年度财政拨款收入总计1515.75万元，</w:t>
      </w:r>
      <w:r>
        <w:rPr>
          <w:rFonts w:hint="eastAsia" w:ascii="宋体" w:hAnsi="宋体" w:eastAsia="宋体"/>
          <w:sz w:val="32"/>
          <w:szCs w:val="32"/>
          <w:highlight w:val="none"/>
        </w:rPr>
        <w:t>与上年相比，增加271.03万元,增长21.8%</w:t>
      </w:r>
      <w:r>
        <w:rPr>
          <w:rFonts w:hint="eastAsia" w:ascii="宋体" w:hAnsi="宋体" w:eastAsia="宋体"/>
          <w:sz w:val="32"/>
          <w:szCs w:val="32"/>
          <w:highlight w:val="none"/>
          <w:lang w:eastAsia="zh-CN"/>
        </w:rPr>
        <w:t>，其中一般公共预算财政拨款收入</w:t>
      </w:r>
      <w:r>
        <w:rPr>
          <w:rFonts w:hint="eastAsia" w:ascii="宋体" w:hAnsi="宋体" w:eastAsia="宋体"/>
          <w:sz w:val="32"/>
          <w:szCs w:val="32"/>
          <w:highlight w:val="none"/>
          <w:lang w:val="en-US" w:eastAsia="zh-CN"/>
        </w:rPr>
        <w:t>1330.49万元</w:t>
      </w:r>
      <w:r>
        <w:rPr>
          <w:rFonts w:hint="eastAsia" w:ascii="宋体" w:hAnsi="宋体" w:eastAsia="宋体"/>
          <w:sz w:val="32"/>
          <w:szCs w:val="32"/>
          <w:highlight w:val="none"/>
          <w:lang w:eastAsia="zh-CN"/>
        </w:rPr>
        <w:t>，比上年增加</w:t>
      </w:r>
      <w:r>
        <w:rPr>
          <w:rFonts w:hint="eastAsia" w:ascii="宋体" w:hAnsi="宋体" w:eastAsia="宋体"/>
          <w:sz w:val="32"/>
          <w:szCs w:val="32"/>
          <w:highlight w:val="none"/>
          <w:lang w:val="en-US" w:eastAsia="zh-CN"/>
        </w:rPr>
        <w:t>162.39万元，增长13.9</w:t>
      </w:r>
      <w:r>
        <w:rPr>
          <w:rFonts w:hint="eastAsia" w:ascii="宋体" w:hAnsi="宋体" w:eastAsia="宋体"/>
          <w:sz w:val="32"/>
          <w:szCs w:val="32"/>
          <w:highlight w:val="none"/>
        </w:rPr>
        <w:t>%</w:t>
      </w:r>
      <w:r>
        <w:rPr>
          <w:rFonts w:hint="eastAsia" w:ascii="宋体" w:hAnsi="宋体" w:eastAsia="宋体"/>
          <w:sz w:val="32"/>
          <w:szCs w:val="32"/>
          <w:highlight w:val="none"/>
          <w:lang w:eastAsia="zh-CN"/>
        </w:rPr>
        <w:t>，政府性基金预算财政拨款收入</w:t>
      </w:r>
      <w:r>
        <w:rPr>
          <w:rFonts w:hint="eastAsia" w:ascii="宋体" w:hAnsi="宋体" w:eastAsia="宋体"/>
          <w:sz w:val="32"/>
          <w:szCs w:val="32"/>
          <w:highlight w:val="none"/>
          <w:lang w:val="en-US" w:eastAsia="zh-CN"/>
        </w:rPr>
        <w:t>185.26万元，比上年增加108.65万元，141.81</w:t>
      </w:r>
      <w:r>
        <w:rPr>
          <w:rFonts w:hint="eastAsia" w:ascii="宋体" w:hAnsi="宋体" w:eastAsia="宋体"/>
          <w:sz w:val="32"/>
          <w:szCs w:val="32"/>
          <w:highlight w:val="none"/>
        </w:rPr>
        <w:t>%</w:t>
      </w:r>
      <w:r>
        <w:rPr>
          <w:rFonts w:hint="eastAsia" w:ascii="宋体" w:hAnsi="宋体" w:eastAsia="宋体"/>
          <w:sz w:val="32"/>
          <w:szCs w:val="32"/>
          <w:highlight w:val="none"/>
          <w:lang w:eastAsia="zh-CN"/>
        </w:rPr>
        <w:t>；财政拨款</w:t>
      </w:r>
      <w:r>
        <w:rPr>
          <w:rFonts w:hint="eastAsia" w:ascii="宋体" w:hAnsi="宋体" w:eastAsia="宋体"/>
          <w:sz w:val="32"/>
          <w:szCs w:val="32"/>
          <w:highlight w:val="none"/>
        </w:rPr>
        <w:t>支出总计1515.75万元，与上年相比，增加260.60万元,增长20.1%</w:t>
      </w:r>
      <w:r>
        <w:rPr>
          <w:rFonts w:hint="eastAsia" w:ascii="宋体" w:hAnsi="宋体" w:eastAsia="宋体"/>
          <w:sz w:val="32"/>
          <w:szCs w:val="32"/>
          <w:highlight w:val="none"/>
          <w:lang w:eastAsia="zh-CN"/>
        </w:rPr>
        <w:t>，其中一般公共预算财政拨款支出</w:t>
      </w:r>
      <w:r>
        <w:rPr>
          <w:rFonts w:hint="eastAsia" w:ascii="宋体" w:hAnsi="宋体" w:eastAsia="宋体"/>
          <w:sz w:val="32"/>
          <w:szCs w:val="32"/>
          <w:highlight w:val="none"/>
          <w:lang w:val="en-US" w:eastAsia="zh-CN"/>
        </w:rPr>
        <w:t>1330.49万元</w:t>
      </w:r>
      <w:r>
        <w:rPr>
          <w:rFonts w:hint="eastAsia" w:ascii="宋体" w:hAnsi="宋体" w:eastAsia="宋体"/>
          <w:sz w:val="32"/>
          <w:szCs w:val="32"/>
          <w:highlight w:val="none"/>
          <w:lang w:eastAsia="zh-CN"/>
        </w:rPr>
        <w:t>，</w:t>
      </w:r>
      <w:r>
        <w:rPr>
          <w:rFonts w:hint="eastAsia" w:ascii="宋体" w:hAnsi="宋体" w:eastAsia="宋体"/>
          <w:sz w:val="32"/>
          <w:szCs w:val="32"/>
          <w:highlight w:val="none"/>
          <w:lang w:val="en-US" w:eastAsia="zh-CN"/>
        </w:rPr>
        <w:t>比上年增加108.65万元，增长13.9</w:t>
      </w:r>
      <w:r>
        <w:rPr>
          <w:rFonts w:hint="eastAsia" w:ascii="宋体" w:hAnsi="宋体" w:eastAsia="宋体"/>
          <w:sz w:val="32"/>
          <w:szCs w:val="32"/>
          <w:highlight w:val="none"/>
        </w:rPr>
        <w:t>%</w:t>
      </w:r>
      <w:r>
        <w:rPr>
          <w:rFonts w:hint="eastAsia" w:ascii="宋体" w:hAnsi="宋体" w:eastAsia="宋体"/>
          <w:sz w:val="32"/>
          <w:szCs w:val="32"/>
          <w:highlight w:val="none"/>
          <w:lang w:eastAsia="zh-CN"/>
        </w:rPr>
        <w:t>，政府性基金预算财政拨款支出</w:t>
      </w:r>
      <w:r>
        <w:rPr>
          <w:rFonts w:hint="eastAsia" w:ascii="宋体" w:hAnsi="宋体" w:eastAsia="宋体"/>
          <w:sz w:val="32"/>
          <w:szCs w:val="32"/>
          <w:highlight w:val="none"/>
          <w:lang w:val="en-US" w:eastAsia="zh-CN"/>
        </w:rPr>
        <w:t>185.26万元，比上年增加108.65万元，增长141.81</w:t>
      </w:r>
      <w:r>
        <w:rPr>
          <w:rFonts w:hint="eastAsia" w:ascii="宋体" w:hAnsi="宋体" w:eastAsia="宋体"/>
          <w:sz w:val="32"/>
          <w:szCs w:val="32"/>
          <w:highlight w:val="none"/>
        </w:rPr>
        <w:t>%。</w:t>
      </w:r>
      <w:r>
        <w:rPr>
          <w:rFonts w:hint="eastAsia" w:ascii="宋体" w:hAnsi="宋体" w:eastAsia="宋体"/>
          <w:sz w:val="32"/>
          <w:szCs w:val="32"/>
        </w:rPr>
        <w:t>财政拨款收入增加主要是因工作需要增加借调人员和临时聘请人员、干职工工资正常提标、增加对农村公益事业建设的补助和农村生活污水整治的投入，相关经费纳入预算；财政拨款支出增加主要是因为因工作需要增加借调人员和临时聘请人员、干职工工资正常提标、农村公益事业建设和生活污水整治增加了相应的支出。</w:t>
      </w:r>
    </w:p>
    <w:p>
      <w:pPr>
        <w:pStyle w:val="11"/>
        <w:rPr>
          <w:rFonts w:hAnsi="黑体"/>
          <w:b/>
          <w:sz w:val="32"/>
          <w:szCs w:val="32"/>
        </w:rPr>
      </w:pPr>
      <w:r>
        <w:rPr>
          <w:rFonts w:hint="eastAsia" w:hAnsi="黑体"/>
          <w:b/>
          <w:sz w:val="32"/>
          <w:szCs w:val="32"/>
        </w:rPr>
        <w:t>五、一般公共预算财政拨款支出决算情况说明</w:t>
      </w:r>
    </w:p>
    <w:p>
      <w:pPr>
        <w:pStyle w:val="11"/>
        <w:ind w:firstLine="640" w:firstLineChars="200"/>
        <w:rPr>
          <w:rFonts w:ascii="宋体" w:hAnsi="宋体" w:eastAsia="宋体"/>
          <w:b/>
          <w:sz w:val="32"/>
          <w:szCs w:val="32"/>
        </w:rPr>
      </w:pPr>
      <w:r>
        <w:rPr>
          <w:rFonts w:hint="eastAsia" w:ascii="宋体" w:hAnsi="宋体" w:eastAsia="宋体"/>
          <w:b/>
          <w:sz w:val="32"/>
          <w:szCs w:val="32"/>
        </w:rPr>
        <w:t>（一）一般公共预算财政拨款支出决算总体情况</w:t>
      </w:r>
    </w:p>
    <w:p>
      <w:pPr>
        <w:pStyle w:val="11"/>
        <w:ind w:firstLine="640" w:firstLineChars="200"/>
        <w:jc w:val="both"/>
        <w:rPr>
          <w:rFonts w:ascii="宋体" w:hAnsi="宋体" w:eastAsia="宋体"/>
          <w:sz w:val="32"/>
          <w:szCs w:val="32"/>
        </w:rPr>
      </w:pPr>
      <w:r>
        <w:rPr>
          <w:rFonts w:hint="eastAsia" w:ascii="宋体" w:hAnsi="宋体" w:eastAsia="宋体"/>
          <w:sz w:val="32"/>
          <w:szCs w:val="32"/>
        </w:rPr>
        <w:t>2021年度一般公共预算财政拨款支出1330.49万元，占本年支出合计的83.9%，与上年相比，一般公共预算财政拨款支出增加151.95万元，增长13%，主要是因为因工作需要向其他部门借调和临时聘请工作人员，增加了相应支出，干职工工资正常提标，增加对农村公益事业建设的补助和农村生活污水整治的投入。</w:t>
      </w:r>
    </w:p>
    <w:p>
      <w:pPr>
        <w:pStyle w:val="11"/>
        <w:numPr>
          <w:ilvl w:val="0"/>
          <w:numId w:val="1"/>
        </w:numPr>
        <w:ind w:firstLine="480" w:firstLineChars="150"/>
        <w:rPr>
          <w:rFonts w:ascii="宋体" w:hAnsi="宋体" w:eastAsia="宋体"/>
          <w:b/>
          <w:sz w:val="32"/>
          <w:szCs w:val="32"/>
        </w:rPr>
      </w:pPr>
      <w:r>
        <w:rPr>
          <w:rFonts w:hint="eastAsia" w:ascii="宋体" w:hAnsi="宋体" w:eastAsia="宋体"/>
          <w:b/>
          <w:sz w:val="32"/>
          <w:szCs w:val="32"/>
        </w:rPr>
        <w:t>一般公共预算财政拨款支出决算结构情况</w:t>
      </w:r>
    </w:p>
    <w:p>
      <w:pPr>
        <w:pStyle w:val="11"/>
        <w:ind w:firstLine="640" w:firstLineChars="200"/>
        <w:jc w:val="both"/>
        <w:rPr>
          <w:rFonts w:ascii="宋体" w:hAnsi="宋体" w:eastAsia="宋体"/>
          <w:sz w:val="32"/>
          <w:szCs w:val="32"/>
        </w:rPr>
      </w:pPr>
      <w:r>
        <w:rPr>
          <w:rFonts w:hint="eastAsia" w:ascii="宋体" w:hAnsi="宋体" w:eastAsia="宋体"/>
          <w:sz w:val="32"/>
          <w:szCs w:val="32"/>
        </w:rPr>
        <w:t>2021年度</w:t>
      </w:r>
      <w:r>
        <w:rPr>
          <w:rFonts w:ascii="宋体" w:hAnsi="宋体" w:eastAsia="宋体"/>
          <w:sz w:val="32"/>
          <w:szCs w:val="32"/>
        </w:rPr>
        <w:t>一般公共预算</w:t>
      </w:r>
      <w:r>
        <w:rPr>
          <w:rFonts w:hint="eastAsia" w:ascii="宋体" w:hAnsi="宋体" w:eastAsia="宋体"/>
          <w:sz w:val="32"/>
          <w:szCs w:val="32"/>
        </w:rPr>
        <w:t>财政拨款支出</w:t>
      </w:r>
      <w:r>
        <w:rPr>
          <w:rFonts w:ascii="宋体" w:hAnsi="宋体" w:eastAsia="宋体"/>
          <w:sz w:val="32"/>
          <w:szCs w:val="32"/>
        </w:rPr>
        <w:t>1330.49</w:t>
      </w:r>
      <w:r>
        <w:rPr>
          <w:rFonts w:hint="eastAsia" w:ascii="宋体" w:hAnsi="宋体" w:eastAsia="宋体"/>
          <w:sz w:val="32"/>
          <w:szCs w:val="32"/>
        </w:rPr>
        <w:t>万元，主要用于以下方面：一般公共服务（类）支出497.87万元，占37.4%；公共安全（类）支出5.99万元，占0.5%；教育（类）支出1.66万元，占0.1%;社会保障和就业（类）支出62万元，占4.7%；卫生健康（类）支出39.01万元，占2.9%；节能环保（类）93.93万元，占7.1%；城乡社区（类）259.73万元，占19.5%；农林水（类）支出277.02万元，占20.8%，</w:t>
      </w:r>
      <w:r>
        <w:rPr>
          <w:rFonts w:ascii="宋体" w:hAnsi="宋体" w:eastAsia="宋体"/>
          <w:sz w:val="32"/>
          <w:szCs w:val="32"/>
        </w:rPr>
        <w:t>交通运输（类）支出8万元，</w:t>
      </w:r>
      <w:r>
        <w:rPr>
          <w:rFonts w:hint="eastAsia" w:ascii="宋体" w:hAnsi="宋体" w:eastAsia="宋体"/>
          <w:sz w:val="32"/>
          <w:szCs w:val="32"/>
        </w:rPr>
        <w:t>占</w:t>
      </w:r>
      <w:r>
        <w:rPr>
          <w:rFonts w:ascii="宋体" w:hAnsi="宋体" w:eastAsia="宋体"/>
          <w:sz w:val="32"/>
          <w:szCs w:val="32"/>
        </w:rPr>
        <w:t>0.6</w:t>
      </w:r>
      <w:r>
        <w:rPr>
          <w:rFonts w:hint="eastAsia" w:ascii="宋体" w:hAnsi="宋体" w:eastAsia="宋体"/>
          <w:sz w:val="32"/>
          <w:szCs w:val="32"/>
        </w:rPr>
        <w:t>%；</w:t>
      </w:r>
      <w:r>
        <w:rPr>
          <w:rFonts w:ascii="宋体" w:hAnsi="宋体" w:eastAsia="宋体"/>
          <w:sz w:val="32"/>
          <w:szCs w:val="32"/>
        </w:rPr>
        <w:t>自然资源海洋气象等（类）支出10万元，</w:t>
      </w:r>
      <w:r>
        <w:rPr>
          <w:rFonts w:hint="eastAsia" w:ascii="宋体" w:hAnsi="宋体" w:eastAsia="宋体"/>
          <w:sz w:val="32"/>
          <w:szCs w:val="32"/>
        </w:rPr>
        <w:t>占0.</w:t>
      </w:r>
      <w:r>
        <w:rPr>
          <w:rFonts w:ascii="宋体" w:hAnsi="宋体" w:eastAsia="宋体"/>
          <w:sz w:val="32"/>
          <w:szCs w:val="32"/>
        </w:rPr>
        <w:t>8</w:t>
      </w:r>
      <w:r>
        <w:rPr>
          <w:rFonts w:hint="eastAsia" w:ascii="宋体" w:hAnsi="宋体" w:eastAsia="宋体"/>
          <w:sz w:val="32"/>
          <w:szCs w:val="32"/>
        </w:rPr>
        <w:t>%；住房保障（类）支出37.91万元，占2.8%；灾害防治及应急管理（类）支出32.4万元，占2.4%；其他支出4.98万元，占0.4%。</w:t>
      </w:r>
    </w:p>
    <w:p>
      <w:pPr>
        <w:pStyle w:val="11"/>
        <w:ind w:firstLine="800" w:firstLineChars="250"/>
        <w:rPr>
          <w:rFonts w:ascii="宋体" w:hAnsi="宋体" w:eastAsia="宋体"/>
          <w:b/>
          <w:sz w:val="32"/>
          <w:szCs w:val="32"/>
        </w:rPr>
      </w:pPr>
      <w:r>
        <w:rPr>
          <w:rFonts w:hint="eastAsia" w:ascii="宋体" w:hAnsi="宋体" w:eastAsia="宋体"/>
          <w:b/>
          <w:sz w:val="32"/>
          <w:szCs w:val="32"/>
        </w:rPr>
        <w:t>（三）一般公共预算财政拨款支出决算具体情况</w:t>
      </w:r>
    </w:p>
    <w:p>
      <w:pPr>
        <w:pStyle w:val="11"/>
        <w:ind w:firstLine="640" w:firstLineChars="200"/>
        <w:jc w:val="both"/>
        <w:rPr>
          <w:rFonts w:ascii="宋体" w:hAnsi="宋体" w:eastAsia="宋体"/>
          <w:sz w:val="32"/>
          <w:szCs w:val="32"/>
        </w:rPr>
      </w:pPr>
      <w:r>
        <w:rPr>
          <w:rFonts w:hint="eastAsia" w:ascii="宋体" w:hAnsi="宋体" w:eastAsia="宋体"/>
          <w:sz w:val="32"/>
          <w:szCs w:val="32"/>
        </w:rPr>
        <w:t>2021年度一般公共预算财政拨款支出年初预算数为1330.49万元，支出决算数为1330.49万元，完成年初预算的100%，其中：</w:t>
      </w:r>
    </w:p>
    <w:p>
      <w:pPr>
        <w:pStyle w:val="11"/>
        <w:ind w:firstLine="640" w:firstLineChars="200"/>
        <w:jc w:val="both"/>
        <w:rPr>
          <w:rFonts w:ascii="宋体" w:hAnsi="宋体" w:eastAsia="宋体"/>
          <w:sz w:val="32"/>
          <w:szCs w:val="32"/>
        </w:rPr>
      </w:pPr>
      <w:r>
        <w:rPr>
          <w:rFonts w:hint="eastAsia" w:ascii="宋体" w:hAnsi="宋体" w:eastAsia="宋体"/>
          <w:sz w:val="32"/>
          <w:szCs w:val="32"/>
        </w:rPr>
        <w:t>1、一般公共服务（类）政府办公厅（室）及相关事务（款）行政运行（项）。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预算为450.83万元，支出决算为450.83万元，完成预算的100%。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2、一般公共服务（类）政府办公厅（室）及相关事务（款）政务公开审批（项）。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预算为10万元，支出决算为10万元，完成预算的100%。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3、一般公共服务（类）政府办公厅（室）及相关事务（款）信访事务（项）。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预算为11.99万元，支出决算为11.99万元，完成预算的100%。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4、一般公共服务（类）统计信息事务（款）专项统计业务（项）。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预算为4.6万元，支出决算为4.6万元，完成预算的100%。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5、一般公共服务（类）群众团体事务（款）其他群众团体事务支出（项）。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预算为6.44万元，支出决算为6.44万元，完成预算的100%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6、一般公共服务（类）其他共产党事务支出（款）一般行政管理事务（项）。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预算为0.26万元，支出决算为0.26万元，完成预算的100%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7、般公共服务（类）其他共产党事务支出（款）其他共产党事务支出（项）。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预算为13.74万元，支出决算为13.74万元，完成预算的100%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8、公共安全支出（类）强制隔离戒毒（款）一般行政管理事务（项）。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预算为1万元，支出决算为1万元，完成预算的100%。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9、公共安全（类）其他公共安全支出（款）其他公共安全支出（项）。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预算为4.99万元，支出决算为4.99万元，完成预算的100%。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10、教育支出（类）教育管理事务（款）其他教育管理事务支出（项）。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预算为1万元，支出决算为1万元，完成预算的100%。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11、教育支出（类）其他教育支出（款）其他教育管支出（项）。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预算为0.66万元，支出决算为0.66万元，完成预算的100%。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12、社会保障和就业支出（类）人力资源和社会保障管理事务（款）社会保险业务管理事务（项）。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预算为8.48万元，支出决算为8.48万元，完成预算的100%。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13、社会保障和就业支出（类）民政管理事务（款）其他民政管理事务支出（项）。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预算为7.58万元，支出决算为7.58万元，完成预算的100%。14、社会保障和就业支出（类）行政事业单位养老支出（款）机关事业单位基本养老保险缴费支出（项）。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预算为13.38万元，支出决算为13.38万元，完成预算的100%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15、社会保障和就业支出（类）行政事业单位养老支出（款）机关事业单位职业年金缴费支出（项）。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预算为8.35万元，支出决算为8.35万元，完成预算的100%。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16、社会保障和就业支出（类）就业补助（款）其他就业补助支出（项）。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预算为9.26万元，支出决算为9.26万元，完成预算的100%。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17、社会保障和就业支出（类）抚恤（款）其他优抚支出（类）</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预算为4.95万元，支出决算为4.95万元，完成预算的100%。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18、社会保障和就业支出（类）最低生活保障（款） 农村最低生活保障金支出（项）。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预算为1.6万元，支出决算为1.6万元，完成预算的100%。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19、社会保障和就业支出（类）临时救助（款） 临时救助支出（项）。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预算为8.2万元，支出决算为8.2万元，完成预算的100%。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20、社会保障和就业支出（类）财政对基本养老保险基金的补助（款）  财政对其他基本养老保险基金的补助（项）。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预算为0.2万元，支出决算为0.2万元，完成预算的100%。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21、卫生健康支出（类）公共卫生（款）突发公共卫生事件应急处理（项）。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预算为26.78万元，支出决算为26.78万元，完成预算的100%。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22、卫生健康支出（类）计划生育事务（款）计划生育服务（项）。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预算为1.99万元，支出决算为1.99万元，完成预算的100%。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23、卫生健康支出（类）行政事业单位医疗（款）事业单位医疗（项）。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预算为3.95万元，支出决算为3.95万元，完成预算的100%。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24、卫生健康支出（类）行政事业单位医疗（款）公务员医疗补助（项）。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预算为4.36万元，支出决算为4.36万元，完成预算的100%。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25、卫生健康支出（类）医疗保障管理事务（款）其他医疗保障管理事务支出（项）。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预算为1.13万元，支出决算为1.13万元，完成预算的100%。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26、卫生健康支出（类）老龄卫生健康事务（款）老龄卫生健康事务（项）。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预算为0.79万元，支出决算为0.79万元，完成预算的100%。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27、节能环保支出（类）污染防治（款）水体（项）。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预算为93.93万元，支出决算为93.93万元，完成预算的100%。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28、城乡社区支出（类）城乡社区管理事务（款）城管执法（项）。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预算为59.94万元，支出决算为59.94万元，完成预算的100%。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29、城乡社区支出（类）其他城乡社区支出（款）其他城乡社区支出（项）。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预算为199.79万元，支出决算为199.79万元，完成预算的100%。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30、农林水支出（类）农业农村（款）病虫害控制（项）。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预算为2万元，支出决算为2万元，完成预算的100%。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31、农林水支出（类）农业农村（款）农村社会事业（项）。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预算为52万元，支出决算为52万元，完成预算的100%。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32、农林水支出（类）水利（款）农村人畜饮水（项）。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预算为6.29万元，支出决算为6.29万元，完成预算的100%。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33、农林水支出（类）水利（款）其他水利支出（项）。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预算为5万元，支出决算为5万元，完成预算的100%。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34、农林水支出（类）扶贫（款）其他扶贫支出（项）。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预算为11.05万元，支出决算为11.05万元，完成预算的100%。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35、农林水支出（类）农村综合改革（款）对村级公益事业建设的补助（项）。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预算为46.76万元，支出决算为46.76万元，完成预算的100%。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36、农林水支出（类）农村综合改革（款）对村民委员会和村党支部的补助（项）。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预算为121.42万元，支出决算为121.42万元，完成预算的100%。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37、农林水支出（类）农村综合改革（款） 其他农村综合改革支出（项）。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预算为32.5万元，支出决算为32.5万元，完成预算的100%。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38、交通运输支出（类）公路水路运输（款）其他公路水路运输支出（项）。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预算为8万元，支出决算为8万元，完成预算的100%。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39、自然资源海洋气象等支出（类）自然资源事务（款） 其他自然资源事务支出（项）。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预算为10万元，支出决算为10万元，完成预算的100%。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40、住房保障支出（类）住房改革支出（款）住房公积金（项）。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预算为37.91万元，支出决算为37.91万元，完成预算的100%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41、灾害防治及应急管理支出（类）应急管理事务（款）安全监管（项）。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预算为5.6万元，支出决算为5.6万元，完成预算的100%。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42、灾害防治及应急管理支出（类）应急管理事务（款）应急管理（项）。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预算为26.8万元，支出决算为26.8万元，完成预算的100%。</w:t>
      </w:r>
    </w:p>
    <w:p>
      <w:pPr>
        <w:pStyle w:val="11"/>
        <w:ind w:firstLine="640" w:firstLineChars="200"/>
        <w:jc w:val="both"/>
        <w:rPr>
          <w:rFonts w:ascii="宋体" w:hAnsi="宋体" w:eastAsia="宋体"/>
          <w:sz w:val="32"/>
          <w:szCs w:val="32"/>
        </w:rPr>
      </w:pPr>
      <w:r>
        <w:rPr>
          <w:rFonts w:hint="eastAsia" w:ascii="宋体" w:hAnsi="宋体" w:eastAsia="宋体"/>
          <w:sz w:val="32"/>
          <w:szCs w:val="32"/>
        </w:rPr>
        <w:t>43、其他支出（类）其他支出（款）其他支出（项）。</w:t>
      </w:r>
    </w:p>
    <w:p>
      <w:pPr>
        <w:pStyle w:val="11"/>
        <w:ind w:firstLine="640" w:firstLineChars="200"/>
        <w:jc w:val="both"/>
        <w:rPr>
          <w:rFonts w:ascii="宋体" w:hAnsi="宋体" w:eastAsia="宋体"/>
          <w:sz w:val="32"/>
          <w:szCs w:val="32"/>
        </w:rPr>
      </w:pPr>
      <w:r>
        <w:rPr>
          <w:rFonts w:hint="eastAsia" w:ascii="宋体" w:hAnsi="宋体" w:eastAsia="宋体"/>
          <w:sz w:val="32"/>
          <w:szCs w:val="32"/>
        </w:rPr>
        <w:t>预算为4.98万元，支出决算为4.98万元，完成预算的100%。</w:t>
      </w:r>
    </w:p>
    <w:p>
      <w:pPr>
        <w:pStyle w:val="11"/>
        <w:rPr>
          <w:rFonts w:hAnsi="黑体"/>
          <w:b/>
          <w:sz w:val="32"/>
          <w:szCs w:val="32"/>
        </w:rPr>
      </w:pPr>
      <w:r>
        <w:rPr>
          <w:rFonts w:hint="eastAsia" w:hAnsi="黑体"/>
          <w:b/>
          <w:sz w:val="32"/>
          <w:szCs w:val="32"/>
        </w:rPr>
        <w:t>六、一般公共预算财政拨款基本支出决算情况说明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2021年度财政拨款基本支出518.79万元，其中：人员经费422.52万元，占基本支出的81%,主要包括基本工资、津贴补贴、奖金、绩效工资、机关事业单位基本养老保险缴费、职工基本医疗保险缴费、公务员医疗补助经费、其他社会保障缴费、住房公积金、其他工资福利支出；公用经费96.28万元，占基本支出的29%，主要包括办公费、印刷费、电费、邮电费、差旅费、维修（护）费、劳务费、委托业务费、福利费、公务用车运行维护费、其他交通费用、其他商品服务支出、办公设备购置。</w:t>
      </w:r>
    </w:p>
    <w:p>
      <w:pPr>
        <w:pStyle w:val="11"/>
        <w:rPr>
          <w:rFonts w:hAnsi="黑体"/>
          <w:b/>
          <w:sz w:val="32"/>
          <w:szCs w:val="32"/>
        </w:rPr>
      </w:pPr>
      <w:r>
        <w:rPr>
          <w:rFonts w:hint="eastAsia" w:hAnsi="黑体"/>
          <w:b/>
          <w:sz w:val="32"/>
          <w:szCs w:val="32"/>
        </w:rPr>
        <w:t>七、一般公共预算财政拨款三公经费支出决算情况说明</w:t>
      </w:r>
    </w:p>
    <w:p>
      <w:pPr>
        <w:pStyle w:val="11"/>
        <w:rPr>
          <w:rFonts w:ascii="宋体" w:hAnsi="宋体" w:eastAsia="宋体"/>
          <w:b/>
          <w:sz w:val="32"/>
          <w:szCs w:val="32"/>
        </w:rPr>
      </w:pPr>
      <w:r>
        <w:rPr>
          <w:rFonts w:hint="eastAsia" w:ascii="宋体" w:hAnsi="宋体" w:eastAsia="宋体"/>
          <w:b/>
          <w:sz w:val="32"/>
          <w:szCs w:val="32"/>
        </w:rPr>
        <w:t>（一）“三公”经费财政拨款支出决算总体情况说明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“三公”经费财政拨款支出预算为10.5万元，支出决算为2.52万元，完成预算的24%，其中：</w:t>
      </w:r>
    </w:p>
    <w:p>
      <w:pPr>
        <w:pStyle w:val="11"/>
        <w:ind w:firstLine="640" w:firstLineChars="200"/>
        <w:jc w:val="both"/>
        <w:rPr>
          <w:rFonts w:ascii="宋体" w:hAnsi="宋体" w:eastAsia="宋体"/>
          <w:sz w:val="32"/>
          <w:szCs w:val="32"/>
        </w:rPr>
      </w:pPr>
      <w:r>
        <w:rPr>
          <w:rFonts w:hint="eastAsia" w:ascii="宋体" w:hAnsi="宋体" w:eastAsia="宋体"/>
          <w:sz w:val="32"/>
          <w:szCs w:val="32"/>
        </w:rPr>
        <w:t>因公出国（境）费支出预算为0万元，支出决算为0万元，</w:t>
      </w:r>
      <w:r>
        <w:rPr>
          <w:rFonts w:hint="eastAsia" w:ascii="宋体" w:hAnsi="宋体" w:eastAsia="宋体"/>
          <w:sz w:val="32"/>
          <w:szCs w:val="32"/>
          <w:lang w:val="en-US" w:eastAsia="zh-CN"/>
        </w:rPr>
        <w:t>决算数等于预算数的原因是严格按预算控制支出；</w:t>
      </w:r>
      <w:r>
        <w:rPr>
          <w:rFonts w:hint="eastAsia" w:ascii="宋体" w:hAnsi="宋体" w:eastAsia="宋体"/>
          <w:sz w:val="32"/>
          <w:szCs w:val="32"/>
        </w:rPr>
        <w:t>与上年相比无变化</w:t>
      </w:r>
      <w:r>
        <w:rPr>
          <w:rFonts w:hint="eastAsia" w:ascii="宋体" w:hAnsi="宋体" w:eastAsia="宋体"/>
          <w:sz w:val="32"/>
          <w:szCs w:val="32"/>
          <w:lang w:eastAsia="zh-CN"/>
        </w:rPr>
        <w:t>。</w:t>
      </w:r>
      <w:r>
        <w:rPr>
          <w:rFonts w:hint="eastAsia" w:ascii="宋体" w:hAnsi="宋体" w:eastAsia="宋体"/>
          <w:sz w:val="32"/>
          <w:szCs w:val="32"/>
          <w:lang w:val="en-US" w:eastAsia="zh-CN"/>
        </w:rPr>
        <w:t>原因是两年均未发生该项费用支出</w:t>
      </w:r>
      <w:r>
        <w:rPr>
          <w:rFonts w:hint="eastAsia" w:ascii="宋体" w:hAnsi="宋体" w:eastAsia="宋体"/>
          <w:sz w:val="32"/>
          <w:szCs w:val="32"/>
        </w:rPr>
        <w:t>。</w:t>
      </w:r>
    </w:p>
    <w:p>
      <w:pPr>
        <w:pStyle w:val="11"/>
        <w:ind w:firstLine="640" w:firstLineChars="200"/>
        <w:jc w:val="both"/>
        <w:rPr>
          <w:rFonts w:hint="default" w:ascii="宋体" w:hAnsi="宋体" w:eastAsia="宋体"/>
          <w:sz w:val="32"/>
          <w:szCs w:val="32"/>
          <w:lang w:val="en-US" w:eastAsia="zh-CN"/>
        </w:rPr>
      </w:pPr>
      <w:r>
        <w:rPr>
          <w:rFonts w:hint="eastAsia" w:ascii="宋体" w:hAnsi="宋体" w:eastAsia="宋体"/>
          <w:sz w:val="32"/>
          <w:szCs w:val="32"/>
        </w:rPr>
        <w:t>公务接待费支出预算为3.5万元，支出决算为0.27万元，完成预算的8%，</w:t>
      </w:r>
      <w:r>
        <w:rPr>
          <w:rFonts w:hint="eastAsia" w:ascii="宋体" w:hAnsi="宋体" w:eastAsia="宋体"/>
          <w:sz w:val="32"/>
          <w:szCs w:val="32"/>
          <w:lang w:val="en-US" w:eastAsia="zh-CN"/>
        </w:rPr>
        <w:t>决算数小于预算数的原因是减少不必要开支。</w:t>
      </w:r>
      <w:r>
        <w:rPr>
          <w:rFonts w:hint="eastAsia" w:ascii="宋体" w:hAnsi="宋体" w:eastAsia="宋体"/>
          <w:sz w:val="32"/>
          <w:szCs w:val="32"/>
        </w:rPr>
        <w:t>与上年相比增加0.27万元。</w:t>
      </w:r>
      <w:r>
        <w:rPr>
          <w:rFonts w:hint="eastAsia" w:ascii="宋体" w:hAnsi="宋体" w:eastAsia="宋体"/>
          <w:sz w:val="32"/>
          <w:szCs w:val="32"/>
          <w:highlight w:val="none"/>
          <w:lang w:val="en-US" w:eastAsia="zh-CN"/>
        </w:rPr>
        <w:t>主要原因是本单位认真贯彻执行中央“八项规定”、省委“九项规定”、市委“十项规定”精神，坚持厉行节约，进一步优化支出结构，加强公务接待的管理，从严控制公务接待费开支范围，相应减少了公务接待费支出。</w:t>
      </w:r>
    </w:p>
    <w:p>
      <w:pPr>
        <w:pStyle w:val="11"/>
        <w:ind w:firstLine="640" w:firstLineChars="200"/>
        <w:jc w:val="both"/>
        <w:rPr>
          <w:rFonts w:ascii="宋体" w:hAnsi="宋体" w:eastAsia="宋体"/>
          <w:sz w:val="32"/>
          <w:szCs w:val="32"/>
        </w:rPr>
      </w:pPr>
      <w:r>
        <w:rPr>
          <w:rFonts w:hint="eastAsia" w:ascii="宋体" w:hAnsi="宋体" w:eastAsia="宋体"/>
          <w:sz w:val="32"/>
          <w:szCs w:val="32"/>
        </w:rPr>
        <w:t>公务用车购置费及运行维护费支出预算为7万元，支出决算为2.25万元，完成预算的32%，决算数小于预算数的主要原因是规范公务用车使用管理，严格控制公务用车费用开支。与上年相比减少0.29万元，减少11%,其主要原因是规范公务用车使用管理，严格控制公务用车费用开支。</w:t>
      </w:r>
    </w:p>
    <w:p>
      <w:pPr>
        <w:pStyle w:val="11"/>
        <w:rPr>
          <w:rFonts w:ascii="宋体" w:hAnsi="宋体" w:eastAsia="宋体"/>
          <w:b/>
          <w:sz w:val="32"/>
          <w:szCs w:val="32"/>
        </w:rPr>
      </w:pPr>
      <w:r>
        <w:rPr>
          <w:rFonts w:hint="eastAsia" w:ascii="宋体" w:hAnsi="宋体" w:eastAsia="宋体"/>
          <w:b/>
          <w:sz w:val="32"/>
          <w:szCs w:val="32"/>
        </w:rPr>
        <w:t>（二）“三公”经费财政拨款支出决算具体情况说明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2021年度“三公”经费财政拨款支出决算中，公务接待费支出决算0.27万元，占11%,因公出国（境）费支出决算0万元，占0%,公务用车购置费及运行维护费支出决算2.25万元，占89%。其中：</w:t>
      </w:r>
    </w:p>
    <w:p>
      <w:pPr>
        <w:pStyle w:val="11"/>
        <w:ind w:firstLine="640" w:firstLineChars="200"/>
        <w:jc w:val="both"/>
        <w:rPr>
          <w:rFonts w:ascii="宋体" w:hAnsi="宋体" w:eastAsia="宋体"/>
          <w:sz w:val="32"/>
          <w:szCs w:val="32"/>
        </w:rPr>
      </w:pPr>
      <w:r>
        <w:rPr>
          <w:rFonts w:hint="eastAsia" w:ascii="宋体" w:hAnsi="宋体" w:eastAsia="宋体"/>
          <w:sz w:val="32"/>
          <w:szCs w:val="32"/>
        </w:rPr>
        <w:t>1、因公出国（境）费支出决算为0万元，全年安排因公出国（境）团组0个，累计0人次。</w:t>
      </w:r>
    </w:p>
    <w:p>
      <w:pPr>
        <w:pStyle w:val="11"/>
        <w:ind w:firstLine="640" w:firstLineChars="200"/>
        <w:jc w:val="both"/>
        <w:rPr>
          <w:rFonts w:ascii="宋体" w:hAnsi="宋体" w:eastAsia="宋体"/>
          <w:sz w:val="32"/>
          <w:szCs w:val="32"/>
        </w:rPr>
      </w:pPr>
      <w:r>
        <w:rPr>
          <w:rFonts w:hint="eastAsia" w:ascii="宋体" w:hAnsi="宋体" w:eastAsia="宋体"/>
          <w:sz w:val="32"/>
          <w:szCs w:val="32"/>
        </w:rPr>
        <w:t>2、公务接待费支出决算为0.27万元，全年共接待来访团组1个、来宾15人次。</w:t>
      </w:r>
    </w:p>
    <w:p>
      <w:pPr>
        <w:pStyle w:val="11"/>
        <w:ind w:firstLine="640" w:firstLineChars="200"/>
        <w:jc w:val="both"/>
        <w:rPr>
          <w:rFonts w:ascii="宋体" w:hAnsi="宋体" w:eastAsia="宋体"/>
          <w:sz w:val="32"/>
          <w:szCs w:val="32"/>
        </w:rPr>
      </w:pPr>
      <w:r>
        <w:rPr>
          <w:rFonts w:hint="eastAsia" w:ascii="宋体" w:hAnsi="宋体" w:eastAsia="宋体"/>
          <w:sz w:val="32"/>
          <w:szCs w:val="32"/>
        </w:rPr>
        <w:t>3、公务用车购置费及运行维护费支出决算为2.25万元，其中：公务用车购置费0万元</w:t>
      </w:r>
      <w:r>
        <w:rPr>
          <w:rFonts w:hint="eastAsia" w:ascii="宋体" w:hAnsi="宋体" w:eastAsia="宋体"/>
          <w:sz w:val="32"/>
          <w:szCs w:val="32"/>
          <w:lang w:eastAsia="zh-CN"/>
        </w:rPr>
        <w:t>，</w:t>
      </w:r>
      <w:r>
        <w:rPr>
          <w:rFonts w:hint="eastAsia" w:ascii="宋体" w:hAnsi="宋体" w:eastAsia="宋体"/>
          <w:sz w:val="32"/>
          <w:szCs w:val="32"/>
          <w:lang w:val="en-US" w:eastAsia="zh-CN"/>
        </w:rPr>
        <w:t>更新公务用车0辆。</w:t>
      </w:r>
      <w:r>
        <w:rPr>
          <w:rFonts w:hint="eastAsia" w:ascii="宋体" w:hAnsi="宋体" w:eastAsia="宋体"/>
          <w:sz w:val="32"/>
          <w:szCs w:val="32"/>
        </w:rPr>
        <w:t>公务用车运行维护费2.25万元，主要是公务用车加油、保险费、维修费支出，截止2021年12月31日，我单位开支财政拨款的公务用车保有量为1辆。</w:t>
      </w:r>
    </w:p>
    <w:p>
      <w:pPr>
        <w:pStyle w:val="11"/>
        <w:rPr>
          <w:rFonts w:hAnsi="黑体"/>
          <w:b/>
          <w:sz w:val="32"/>
          <w:szCs w:val="32"/>
        </w:rPr>
      </w:pPr>
      <w:r>
        <w:rPr>
          <w:rFonts w:hint="eastAsia" w:hAnsi="黑体"/>
          <w:b/>
          <w:sz w:val="32"/>
          <w:szCs w:val="32"/>
        </w:rPr>
        <w:t>八、政府性基金预算收入支出决算情况</w:t>
      </w:r>
    </w:p>
    <w:p>
      <w:pPr>
        <w:pStyle w:val="11"/>
        <w:ind w:firstLine="640" w:firstLineChars="200"/>
        <w:jc w:val="both"/>
        <w:rPr>
          <w:rFonts w:ascii="宋体" w:hAnsi="宋体" w:eastAsia="宋体"/>
          <w:sz w:val="32"/>
          <w:szCs w:val="32"/>
        </w:rPr>
      </w:pPr>
      <w:r>
        <w:rPr>
          <w:rFonts w:hint="eastAsia" w:ascii="宋体" w:hAnsi="宋体" w:eastAsia="宋体"/>
          <w:sz w:val="32"/>
          <w:szCs w:val="32"/>
        </w:rPr>
        <w:t>2021年度政府性基金预算财政拨款收入185.26万元；年初结转和结余0万元；支出185.26万元，其中基本支出0万元，项目支出185.26万元；年末结转和结余0万元。</w:t>
      </w:r>
    </w:p>
    <w:p>
      <w:pPr>
        <w:pStyle w:val="11"/>
        <w:rPr>
          <w:rFonts w:hAnsi="黑体"/>
          <w:b/>
          <w:sz w:val="32"/>
          <w:szCs w:val="32"/>
        </w:rPr>
      </w:pPr>
      <w:r>
        <w:rPr>
          <w:rFonts w:hint="eastAsia" w:hAnsi="黑体"/>
          <w:b/>
          <w:sz w:val="32"/>
          <w:szCs w:val="32"/>
        </w:rPr>
        <w:t>九、关于机关运行经费支出说明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本部门2021年度机关运行经费支出96.28万元，比上年决算数减少26.14万元，减少21%。主要原因是：根据上级部门的工作安排，清理规范公务员津补贴，停止发放区内公务出行交通补贴，导致机关运行经费大幅度减少。</w:t>
      </w:r>
    </w:p>
    <w:p>
      <w:pPr>
        <w:pStyle w:val="11"/>
        <w:rPr>
          <w:rFonts w:hAnsi="黑体"/>
          <w:b/>
          <w:sz w:val="32"/>
          <w:szCs w:val="32"/>
        </w:rPr>
      </w:pPr>
      <w:r>
        <w:rPr>
          <w:rFonts w:hint="eastAsia" w:hAnsi="黑体"/>
          <w:b/>
          <w:sz w:val="32"/>
          <w:szCs w:val="32"/>
        </w:rPr>
        <w:t>十、一般性支出情况</w:t>
      </w:r>
    </w:p>
    <w:p>
      <w:pPr>
        <w:pStyle w:val="11"/>
        <w:ind w:firstLine="640" w:firstLineChars="200"/>
        <w:jc w:val="both"/>
        <w:rPr>
          <w:rFonts w:ascii="宋体" w:hAnsi="宋体" w:eastAsia="宋体"/>
          <w:sz w:val="32"/>
          <w:szCs w:val="32"/>
          <w:highlight w:val="none"/>
        </w:rPr>
      </w:pPr>
      <w:r>
        <w:rPr>
          <w:rFonts w:hint="eastAsia" w:ascii="宋体" w:hAnsi="宋体" w:eastAsia="宋体"/>
          <w:sz w:val="32"/>
          <w:szCs w:val="32"/>
        </w:rPr>
        <w:t>2021年会议费开支为0万元，培训费</w:t>
      </w:r>
      <w:bookmarkStart w:id="0" w:name="_GoBack"/>
      <w:bookmarkEnd w:id="0"/>
      <w:r>
        <w:rPr>
          <w:rFonts w:hint="eastAsia" w:ascii="宋体" w:hAnsi="宋体" w:eastAsia="宋体"/>
          <w:sz w:val="32"/>
          <w:szCs w:val="32"/>
        </w:rPr>
        <w:t>开支1.16万元，</w:t>
      </w:r>
      <w:r>
        <w:rPr>
          <w:rFonts w:hint="eastAsia" w:ascii="宋体" w:hAnsi="宋体" w:eastAsia="宋体"/>
          <w:sz w:val="32"/>
          <w:szCs w:val="32"/>
          <w:highlight w:val="none"/>
          <w:lang w:val="en-US" w:eastAsia="zh-CN"/>
        </w:rPr>
        <w:t>人数38人，</w:t>
      </w:r>
      <w:r>
        <w:rPr>
          <w:rFonts w:hint="eastAsia" w:ascii="宋体" w:hAnsi="宋体" w:eastAsia="宋体"/>
          <w:sz w:val="32"/>
          <w:szCs w:val="32"/>
          <w:highlight w:val="none"/>
        </w:rPr>
        <w:t>比上年增加1.16元，变化的主要原因是：</w:t>
      </w:r>
      <w:r>
        <w:rPr>
          <w:rFonts w:hint="eastAsia" w:ascii="宋体" w:hAnsi="宋体" w:eastAsia="宋体"/>
          <w:sz w:val="32"/>
          <w:szCs w:val="32"/>
          <w:highlight w:val="none"/>
          <w:lang w:eastAsia="zh-CN"/>
        </w:rPr>
        <w:t>本单位加强基层党组织建设开展了党员培训、</w:t>
      </w:r>
      <w:r>
        <w:rPr>
          <w:rFonts w:hint="eastAsia" w:ascii="宋体" w:hAnsi="宋体" w:eastAsia="宋体"/>
          <w:sz w:val="32"/>
          <w:szCs w:val="32"/>
          <w:highlight w:val="none"/>
        </w:rPr>
        <w:t>上级主管部门安排的学习培训</w:t>
      </w:r>
      <w:r>
        <w:rPr>
          <w:rFonts w:hint="eastAsia" w:ascii="宋体" w:hAnsi="宋体" w:eastAsia="宋体"/>
          <w:sz w:val="32"/>
          <w:szCs w:val="32"/>
          <w:highlight w:val="none"/>
          <w:lang w:eastAsia="zh-CN"/>
        </w:rPr>
        <w:t>人</w:t>
      </w:r>
      <w:r>
        <w:rPr>
          <w:rFonts w:hint="eastAsia" w:ascii="宋体" w:hAnsi="宋体" w:eastAsia="宋体"/>
          <w:sz w:val="32"/>
          <w:szCs w:val="32"/>
          <w:highlight w:val="none"/>
        </w:rPr>
        <w:t>数增加。</w:t>
      </w:r>
      <w:r>
        <w:rPr>
          <w:rFonts w:hint="eastAsia" w:asciiTheme="minorEastAsia" w:hAnsiTheme="minorEastAsia" w:eastAsiaTheme="minorEastAsia"/>
          <w:sz w:val="32"/>
          <w:szCs w:val="32"/>
          <w:highlight w:val="none"/>
          <w:lang w:val="en-US" w:eastAsia="zh-CN"/>
        </w:rPr>
        <w:t>未</w:t>
      </w:r>
      <w:r>
        <w:rPr>
          <w:rFonts w:hint="eastAsia" w:ascii="宋体" w:hAnsi="宋体" w:eastAsia="宋体"/>
          <w:sz w:val="32"/>
          <w:szCs w:val="32"/>
          <w:highlight w:val="none"/>
        </w:rPr>
        <w:t>举办节庆、晚会、论坛、赛事活动</w:t>
      </w:r>
      <w:r>
        <w:rPr>
          <w:rFonts w:hint="eastAsia" w:ascii="宋体" w:hAnsi="宋体" w:eastAsia="宋体"/>
          <w:sz w:val="32"/>
          <w:szCs w:val="32"/>
          <w:highlight w:val="none"/>
          <w:lang w:eastAsia="zh-CN"/>
        </w:rPr>
        <w:t>。</w:t>
      </w:r>
    </w:p>
    <w:p>
      <w:pPr>
        <w:pStyle w:val="11"/>
        <w:rPr>
          <w:rFonts w:hAnsi="黑体"/>
          <w:b/>
          <w:sz w:val="32"/>
          <w:szCs w:val="32"/>
          <w:highlight w:val="none"/>
        </w:rPr>
      </w:pPr>
      <w:r>
        <w:rPr>
          <w:rFonts w:hint="eastAsia" w:hAnsi="黑体"/>
          <w:b/>
          <w:sz w:val="32"/>
          <w:szCs w:val="32"/>
          <w:highlight w:val="none"/>
        </w:rPr>
        <w:t>十一、关于政府采购支出说明</w:t>
      </w:r>
    </w:p>
    <w:p>
      <w:pPr>
        <w:pStyle w:val="11"/>
        <w:ind w:firstLine="640" w:firstLineChars="200"/>
        <w:jc w:val="both"/>
        <w:rPr>
          <w:rFonts w:ascii="宋体" w:hAnsi="宋体" w:eastAsia="宋体"/>
          <w:sz w:val="32"/>
          <w:szCs w:val="32"/>
          <w:highlight w:val="none"/>
        </w:rPr>
      </w:pPr>
      <w:r>
        <w:rPr>
          <w:rFonts w:hint="eastAsia" w:ascii="宋体" w:hAnsi="宋体" w:eastAsia="宋体"/>
          <w:sz w:val="32"/>
          <w:szCs w:val="32"/>
          <w:highlight w:val="none"/>
        </w:rPr>
        <w:t>本部门2021年度政府采购支出总额30万元，其中：政府采购货物支出30万元。政府采购工程支出</w:t>
      </w:r>
      <w:r>
        <w:rPr>
          <w:rFonts w:ascii="宋体" w:hAnsi="宋体" w:eastAsia="宋体"/>
          <w:sz w:val="32"/>
          <w:szCs w:val="32"/>
          <w:highlight w:val="none"/>
        </w:rPr>
        <w:t>0</w:t>
      </w:r>
      <w:r>
        <w:rPr>
          <w:rFonts w:hint="eastAsia" w:ascii="宋体" w:hAnsi="宋体" w:eastAsia="宋体"/>
          <w:sz w:val="32"/>
          <w:szCs w:val="32"/>
          <w:highlight w:val="none"/>
        </w:rPr>
        <w:t>万元、政府采购服务支出</w:t>
      </w:r>
      <w:r>
        <w:rPr>
          <w:rFonts w:ascii="宋体" w:hAnsi="宋体" w:eastAsia="宋体"/>
          <w:sz w:val="32"/>
          <w:szCs w:val="32"/>
          <w:highlight w:val="none"/>
        </w:rPr>
        <w:t>0</w:t>
      </w:r>
      <w:r>
        <w:rPr>
          <w:rFonts w:hint="eastAsia" w:ascii="宋体" w:hAnsi="宋体" w:eastAsia="宋体"/>
          <w:sz w:val="32"/>
          <w:szCs w:val="32"/>
          <w:highlight w:val="none"/>
        </w:rPr>
        <w:t>万元。授予中小企业合同金额</w:t>
      </w:r>
      <w:r>
        <w:rPr>
          <w:rFonts w:hint="eastAsia" w:ascii="宋体" w:hAnsi="宋体" w:eastAsia="宋体"/>
          <w:sz w:val="32"/>
          <w:szCs w:val="32"/>
          <w:highlight w:val="none"/>
          <w:lang w:val="en-US" w:eastAsia="zh-CN"/>
        </w:rPr>
        <w:t>30</w:t>
      </w:r>
      <w:r>
        <w:rPr>
          <w:rFonts w:hint="eastAsia" w:ascii="宋体" w:hAnsi="宋体" w:eastAsia="宋体"/>
          <w:sz w:val="32"/>
          <w:szCs w:val="32"/>
          <w:highlight w:val="none"/>
        </w:rPr>
        <w:t>万元，占政府采购支出总额的</w:t>
      </w:r>
      <w:r>
        <w:rPr>
          <w:rFonts w:hint="eastAsia" w:ascii="宋体" w:hAnsi="宋体" w:eastAsia="宋体"/>
          <w:sz w:val="32"/>
          <w:szCs w:val="32"/>
          <w:highlight w:val="none"/>
          <w:lang w:val="en-US" w:eastAsia="zh-CN"/>
        </w:rPr>
        <w:t>100</w:t>
      </w:r>
      <w:r>
        <w:rPr>
          <w:rFonts w:hint="eastAsia" w:ascii="宋体" w:hAnsi="宋体" w:eastAsia="宋体"/>
          <w:sz w:val="32"/>
          <w:szCs w:val="32"/>
          <w:highlight w:val="none"/>
        </w:rPr>
        <w:t>%，其中：授予小微企业合同金额</w:t>
      </w:r>
      <w:r>
        <w:rPr>
          <w:rFonts w:hint="eastAsia" w:ascii="宋体" w:hAnsi="宋体" w:eastAsia="宋体"/>
          <w:sz w:val="32"/>
          <w:szCs w:val="32"/>
          <w:highlight w:val="none"/>
          <w:lang w:val="en-US" w:eastAsia="zh-CN"/>
        </w:rPr>
        <w:t>30</w:t>
      </w:r>
      <w:r>
        <w:rPr>
          <w:rFonts w:hint="eastAsia" w:ascii="宋体" w:hAnsi="宋体" w:eastAsia="宋体"/>
          <w:sz w:val="32"/>
          <w:szCs w:val="32"/>
          <w:highlight w:val="none"/>
        </w:rPr>
        <w:t>万元，占政府采购支出总额的</w:t>
      </w:r>
      <w:r>
        <w:rPr>
          <w:rFonts w:hint="eastAsia" w:ascii="宋体" w:hAnsi="宋体" w:eastAsia="宋体"/>
          <w:sz w:val="32"/>
          <w:szCs w:val="32"/>
          <w:highlight w:val="none"/>
          <w:lang w:val="en-US" w:eastAsia="zh-CN"/>
        </w:rPr>
        <w:t>100</w:t>
      </w:r>
      <w:r>
        <w:rPr>
          <w:rFonts w:hint="eastAsia" w:ascii="宋体" w:hAnsi="宋体" w:eastAsia="宋体"/>
          <w:sz w:val="32"/>
          <w:szCs w:val="32"/>
          <w:highlight w:val="none"/>
        </w:rPr>
        <w:t>%。</w:t>
      </w:r>
    </w:p>
    <w:p>
      <w:pPr>
        <w:pStyle w:val="11"/>
        <w:rPr>
          <w:rFonts w:hAnsi="黑体"/>
          <w:b/>
          <w:sz w:val="32"/>
          <w:szCs w:val="32"/>
        </w:rPr>
      </w:pPr>
      <w:r>
        <w:rPr>
          <w:rFonts w:hint="eastAsia" w:hAnsi="黑体"/>
          <w:b/>
          <w:sz w:val="32"/>
          <w:szCs w:val="32"/>
        </w:rPr>
        <w:t>十二、关于国有资产占用情况说明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截至202</w:t>
      </w:r>
      <w:r>
        <w:rPr>
          <w:rFonts w:ascii="宋体" w:hAnsi="宋体" w:eastAsia="宋体"/>
          <w:sz w:val="32"/>
          <w:szCs w:val="32"/>
        </w:rPr>
        <w:t>1</w:t>
      </w:r>
      <w:r>
        <w:rPr>
          <w:rFonts w:hint="eastAsia" w:ascii="宋体" w:hAnsi="宋体" w:eastAsia="宋体"/>
          <w:sz w:val="32"/>
          <w:szCs w:val="32"/>
        </w:rPr>
        <w:t>年12月31日，本单位共有车辆</w:t>
      </w:r>
      <w:r>
        <w:rPr>
          <w:rFonts w:ascii="宋体" w:hAnsi="宋体" w:eastAsia="宋体"/>
          <w:sz w:val="32"/>
          <w:szCs w:val="32"/>
        </w:rPr>
        <w:t>1</w:t>
      </w:r>
      <w:r>
        <w:rPr>
          <w:rFonts w:hint="eastAsia" w:ascii="宋体" w:hAnsi="宋体" w:eastAsia="宋体"/>
          <w:sz w:val="32"/>
          <w:szCs w:val="32"/>
        </w:rPr>
        <w:t>辆，其中，主要领导干部用车</w:t>
      </w:r>
      <w:r>
        <w:rPr>
          <w:rFonts w:ascii="宋体" w:hAnsi="宋体" w:eastAsia="宋体"/>
          <w:sz w:val="32"/>
          <w:szCs w:val="32"/>
        </w:rPr>
        <w:t>0</w:t>
      </w:r>
      <w:r>
        <w:rPr>
          <w:rFonts w:hint="eastAsia" w:ascii="宋体" w:hAnsi="宋体" w:eastAsia="宋体"/>
          <w:sz w:val="32"/>
          <w:szCs w:val="32"/>
        </w:rPr>
        <w:t>辆，机要通信用车</w:t>
      </w:r>
      <w:r>
        <w:rPr>
          <w:rFonts w:ascii="宋体" w:hAnsi="宋体" w:eastAsia="宋体"/>
          <w:sz w:val="32"/>
          <w:szCs w:val="32"/>
        </w:rPr>
        <w:t>0</w:t>
      </w:r>
      <w:r>
        <w:rPr>
          <w:rFonts w:hint="eastAsia" w:ascii="宋体" w:hAnsi="宋体" w:eastAsia="宋体"/>
          <w:sz w:val="32"/>
          <w:szCs w:val="32"/>
        </w:rPr>
        <w:t>辆、应急保障用车</w:t>
      </w:r>
      <w:r>
        <w:rPr>
          <w:rFonts w:ascii="宋体" w:hAnsi="宋体" w:eastAsia="宋体"/>
          <w:sz w:val="32"/>
          <w:szCs w:val="32"/>
        </w:rPr>
        <w:t>0</w:t>
      </w:r>
      <w:r>
        <w:rPr>
          <w:rFonts w:hint="eastAsia" w:ascii="宋体" w:hAnsi="宋体" w:eastAsia="宋体"/>
          <w:sz w:val="32"/>
          <w:szCs w:val="32"/>
        </w:rPr>
        <w:t>辆、执法执勤用车</w:t>
      </w:r>
      <w:r>
        <w:rPr>
          <w:rFonts w:ascii="宋体" w:hAnsi="宋体" w:eastAsia="宋体"/>
          <w:sz w:val="32"/>
          <w:szCs w:val="32"/>
        </w:rPr>
        <w:t>1</w:t>
      </w:r>
      <w:r>
        <w:rPr>
          <w:rFonts w:hint="eastAsia" w:ascii="宋体" w:hAnsi="宋体" w:eastAsia="宋体"/>
          <w:sz w:val="32"/>
          <w:szCs w:val="32"/>
        </w:rPr>
        <w:t>辆、特种专业技术用车</w:t>
      </w:r>
      <w:r>
        <w:rPr>
          <w:rFonts w:ascii="宋体" w:hAnsi="宋体" w:eastAsia="宋体"/>
          <w:sz w:val="32"/>
          <w:szCs w:val="32"/>
        </w:rPr>
        <w:t>0</w:t>
      </w:r>
      <w:r>
        <w:rPr>
          <w:rFonts w:hint="eastAsia" w:ascii="宋体" w:hAnsi="宋体" w:eastAsia="宋体"/>
          <w:sz w:val="32"/>
          <w:szCs w:val="32"/>
        </w:rPr>
        <w:t>辆、其他用车</w:t>
      </w:r>
      <w:r>
        <w:rPr>
          <w:rFonts w:ascii="宋体" w:hAnsi="宋体" w:eastAsia="宋体"/>
          <w:sz w:val="32"/>
          <w:szCs w:val="32"/>
        </w:rPr>
        <w:t>0</w:t>
      </w:r>
      <w:r>
        <w:rPr>
          <w:rFonts w:hint="eastAsia" w:ascii="宋体" w:hAnsi="宋体" w:eastAsia="宋体"/>
          <w:sz w:val="32"/>
          <w:szCs w:val="32"/>
        </w:rPr>
        <w:t>辆；单位价值50万元以上通用设备</w:t>
      </w:r>
      <w:r>
        <w:rPr>
          <w:rFonts w:ascii="宋体" w:hAnsi="宋体" w:eastAsia="宋体"/>
          <w:sz w:val="32"/>
          <w:szCs w:val="32"/>
        </w:rPr>
        <w:t>0</w:t>
      </w:r>
      <w:r>
        <w:rPr>
          <w:rFonts w:hint="eastAsia" w:ascii="宋体" w:hAnsi="宋体" w:eastAsia="宋体"/>
          <w:sz w:val="32"/>
          <w:szCs w:val="32"/>
        </w:rPr>
        <w:t>台（套）；单位价值100万元以上专用设备</w:t>
      </w:r>
      <w:r>
        <w:rPr>
          <w:rFonts w:ascii="宋体" w:hAnsi="宋体" w:eastAsia="宋体"/>
          <w:sz w:val="32"/>
          <w:szCs w:val="32"/>
        </w:rPr>
        <w:t>0</w:t>
      </w:r>
      <w:r>
        <w:rPr>
          <w:rFonts w:hint="eastAsia" w:ascii="宋体" w:hAnsi="宋体" w:eastAsia="宋体"/>
          <w:sz w:val="32"/>
          <w:szCs w:val="32"/>
        </w:rPr>
        <w:t>台（套）。</w:t>
      </w:r>
    </w:p>
    <w:p>
      <w:pPr>
        <w:pStyle w:val="11"/>
        <w:rPr>
          <w:rFonts w:hAnsi="黑体"/>
          <w:b/>
          <w:sz w:val="32"/>
          <w:szCs w:val="32"/>
        </w:rPr>
      </w:pPr>
      <w:r>
        <w:rPr>
          <w:rFonts w:hint="eastAsia" w:hAnsi="黑体"/>
          <w:b/>
          <w:sz w:val="32"/>
          <w:szCs w:val="32"/>
        </w:rPr>
        <w:t>十三、关于2021年度预算绩效情况的说明</w:t>
      </w:r>
    </w:p>
    <w:p>
      <w:pPr>
        <w:pStyle w:val="11"/>
        <w:ind w:firstLine="640" w:firstLineChars="200"/>
        <w:jc w:val="both"/>
        <w:rPr>
          <w:rFonts w:ascii="宋体" w:hAnsi="宋体" w:eastAsia="宋体"/>
          <w:sz w:val="32"/>
          <w:szCs w:val="32"/>
        </w:rPr>
      </w:pPr>
      <w:r>
        <w:rPr>
          <w:rFonts w:hint="eastAsia" w:ascii="宋体" w:hAnsi="宋体" w:eastAsia="宋体"/>
          <w:sz w:val="32"/>
          <w:szCs w:val="32"/>
        </w:rPr>
        <w:t>本单位各项资金在年初预算编制时都进行了预算绩效目标申报，纳入预算绩效管理，并且开展了绩效自评工作，各项资金的使用基本上都达到了预先设定的绩效目标。</w:t>
      </w:r>
    </w:p>
    <w:p>
      <w:pPr>
        <w:pStyle w:val="11"/>
        <w:rPr>
          <w:rFonts w:hAnsi="黑体"/>
          <w:b/>
          <w:sz w:val="32"/>
          <w:szCs w:val="32"/>
        </w:rPr>
      </w:pPr>
    </w:p>
    <w:p>
      <w:pPr>
        <w:pStyle w:val="11"/>
        <w:jc w:val="both"/>
        <w:rPr>
          <w:sz w:val="72"/>
          <w:szCs w:val="72"/>
        </w:rPr>
      </w:pPr>
    </w:p>
    <w:p>
      <w:pPr>
        <w:pStyle w:val="11"/>
        <w:tabs>
          <w:tab w:val="left" w:pos="3576"/>
          <w:tab w:val="center" w:pos="5293"/>
        </w:tabs>
        <w:rPr>
          <w:sz w:val="72"/>
          <w:szCs w:val="72"/>
        </w:rPr>
      </w:pPr>
      <w:r>
        <w:rPr>
          <w:rFonts w:hint="eastAsia"/>
          <w:sz w:val="72"/>
          <w:szCs w:val="72"/>
        </w:rPr>
        <w:tab/>
      </w:r>
    </w:p>
    <w:p>
      <w:pPr>
        <w:pStyle w:val="11"/>
        <w:tabs>
          <w:tab w:val="left" w:pos="3576"/>
          <w:tab w:val="center" w:pos="5293"/>
        </w:tabs>
        <w:rPr>
          <w:sz w:val="72"/>
          <w:szCs w:val="72"/>
        </w:rPr>
      </w:pPr>
    </w:p>
    <w:p>
      <w:pPr>
        <w:pStyle w:val="11"/>
        <w:tabs>
          <w:tab w:val="left" w:pos="3576"/>
          <w:tab w:val="center" w:pos="5293"/>
        </w:tabs>
        <w:jc w:val="center"/>
        <w:rPr>
          <w:sz w:val="72"/>
          <w:szCs w:val="72"/>
        </w:rPr>
      </w:pPr>
    </w:p>
    <w:p>
      <w:pPr>
        <w:pStyle w:val="11"/>
        <w:tabs>
          <w:tab w:val="left" w:pos="3576"/>
          <w:tab w:val="center" w:pos="5293"/>
        </w:tabs>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tabs>
          <w:tab w:val="center" w:pos="5205"/>
          <w:tab w:val="left" w:pos="7101"/>
        </w:tabs>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tabs>
          <w:tab w:val="center" w:pos="5205"/>
          <w:tab w:val="left" w:pos="7101"/>
        </w:tabs>
        <w:jc w:val="left"/>
        <w:rPr>
          <w:rFonts w:ascii="黑体" w:eastAsia="黑体" w:cs="黑体"/>
          <w:color w:val="000000"/>
          <w:kern w:val="0"/>
          <w:sz w:val="70"/>
          <w:szCs w:val="70"/>
        </w:rPr>
      </w:pPr>
    </w:p>
    <w:p>
      <w:pPr>
        <w:pStyle w:val="11"/>
        <w:ind w:firstLine="640" w:firstLineChars="200"/>
        <w:jc w:val="both"/>
        <w:rPr>
          <w:rFonts w:ascii="宋体" w:hAnsi="宋体" w:eastAsia="宋体"/>
          <w:sz w:val="32"/>
          <w:szCs w:val="32"/>
        </w:rPr>
      </w:pPr>
      <w:r>
        <w:rPr>
          <w:rFonts w:hint="eastAsia" w:ascii="宋体" w:hAnsi="宋体" w:eastAsia="宋体"/>
          <w:sz w:val="32"/>
          <w:szCs w:val="32"/>
        </w:rPr>
        <w:t xml:space="preserve">一、财政拨款收入：指本级财政当年拨付的资金。 </w:t>
      </w:r>
    </w:p>
    <w:p>
      <w:pPr>
        <w:pStyle w:val="11"/>
        <w:ind w:firstLine="640" w:firstLineChars="200"/>
        <w:jc w:val="both"/>
        <w:rPr>
          <w:rFonts w:ascii="宋体" w:hAnsi="宋体" w:eastAsia="宋体"/>
          <w:sz w:val="32"/>
          <w:szCs w:val="32"/>
        </w:rPr>
      </w:pPr>
      <w:r>
        <w:rPr>
          <w:rFonts w:hint="eastAsia" w:ascii="宋体" w:hAnsi="宋体" w:eastAsia="宋体"/>
          <w:sz w:val="32"/>
          <w:szCs w:val="32"/>
        </w:rPr>
        <w:t xml:space="preserve">二、年初结转和结余：指以前年度尚未完成、结转到本年按有关规定继续使用的资金。 </w:t>
      </w:r>
    </w:p>
    <w:p>
      <w:pPr>
        <w:pStyle w:val="11"/>
        <w:ind w:firstLine="640" w:firstLineChars="200"/>
        <w:jc w:val="both"/>
        <w:rPr>
          <w:rFonts w:ascii="宋体" w:hAnsi="宋体" w:eastAsia="宋体"/>
          <w:sz w:val="32"/>
          <w:szCs w:val="32"/>
        </w:rPr>
      </w:pPr>
      <w:r>
        <w:rPr>
          <w:rFonts w:hint="eastAsia" w:ascii="宋体" w:hAnsi="宋体" w:eastAsia="宋体"/>
          <w:sz w:val="32"/>
          <w:szCs w:val="32"/>
        </w:rPr>
        <w:t xml:space="preserve">三、年末结转和结余：指本年度或以前年度预算安排、因客观条件发生变化无法按原计划实施，需要延迟到以后年度按有关规定继续使用的资金。 </w:t>
      </w:r>
    </w:p>
    <w:p>
      <w:pPr>
        <w:pStyle w:val="11"/>
        <w:ind w:firstLine="640" w:firstLineChars="200"/>
        <w:jc w:val="both"/>
        <w:rPr>
          <w:rFonts w:ascii="宋体" w:hAnsi="宋体" w:eastAsia="宋体"/>
          <w:sz w:val="32"/>
          <w:szCs w:val="32"/>
        </w:rPr>
      </w:pPr>
      <w:r>
        <w:rPr>
          <w:rFonts w:hint="eastAsia" w:ascii="宋体" w:hAnsi="宋体" w:eastAsia="宋体"/>
          <w:sz w:val="32"/>
          <w:szCs w:val="32"/>
        </w:rPr>
        <w:t xml:space="preserve">四、基本支出：指为保障机构正常运转、完成日常工作任务而发生的人员支出和公用支出。 </w:t>
      </w:r>
    </w:p>
    <w:p>
      <w:pPr>
        <w:pStyle w:val="11"/>
        <w:ind w:firstLine="640" w:firstLineChars="200"/>
        <w:jc w:val="both"/>
        <w:rPr>
          <w:rFonts w:ascii="宋体" w:hAnsi="宋体" w:eastAsia="宋体"/>
          <w:sz w:val="32"/>
          <w:szCs w:val="32"/>
        </w:rPr>
      </w:pPr>
      <w:r>
        <w:rPr>
          <w:rFonts w:hint="eastAsia" w:ascii="宋体" w:hAnsi="宋体" w:eastAsia="宋体"/>
          <w:sz w:val="32"/>
          <w:szCs w:val="32"/>
        </w:rPr>
        <w:t xml:space="preserve">五、项目支出：指在基本支出之外为完成特定行政任务和事业发展目标所发生的支出。 </w:t>
      </w:r>
    </w:p>
    <w:p>
      <w:pPr>
        <w:pStyle w:val="11"/>
        <w:ind w:firstLine="640" w:firstLineChars="200"/>
        <w:jc w:val="both"/>
        <w:rPr>
          <w:rFonts w:ascii="宋体" w:hAnsi="宋体" w:eastAsia="宋体"/>
          <w:sz w:val="32"/>
          <w:szCs w:val="32"/>
        </w:rPr>
      </w:pPr>
      <w:r>
        <w:rPr>
          <w:rFonts w:hint="eastAsia" w:ascii="宋体" w:hAnsi="宋体" w:eastAsia="宋体"/>
          <w:sz w:val="32"/>
          <w:szCs w:val="32"/>
        </w:rPr>
        <w:t xml:space="preserve">六、“三公”经费：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pStyle w:val="11"/>
        <w:ind w:firstLine="640" w:firstLineChars="200"/>
        <w:jc w:val="both"/>
        <w:rPr>
          <w:rFonts w:ascii="宋体" w:hAnsi="宋体" w:eastAsia="宋体"/>
          <w:sz w:val="32"/>
          <w:szCs w:val="32"/>
        </w:rPr>
      </w:pPr>
      <w:r>
        <w:rPr>
          <w:rFonts w:hint="eastAsia" w:ascii="宋体" w:hAnsi="宋体" w:eastAsia="宋体"/>
          <w:sz w:val="32"/>
          <w:szCs w:val="32"/>
        </w:rPr>
        <w:t>七、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其他对企事业单位的补贴以及其他费用。</w:t>
      </w:r>
    </w:p>
    <w:p>
      <w:pPr>
        <w:pStyle w:val="11"/>
        <w:tabs>
          <w:tab w:val="left" w:pos="3756"/>
          <w:tab w:val="center" w:pos="5293"/>
        </w:tabs>
        <w:rPr>
          <w:sz w:val="72"/>
          <w:szCs w:val="72"/>
        </w:rPr>
      </w:pPr>
      <w:r>
        <w:rPr>
          <w:rFonts w:hint="eastAsia"/>
          <w:sz w:val="72"/>
          <w:szCs w:val="72"/>
        </w:rPr>
        <w:tab/>
      </w: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p>
    <w:p>
      <w:pPr>
        <w:jc w:val="center"/>
        <w:rPr>
          <w:rFonts w:ascii="宋体" w:hAnsi="宋体" w:cs="宋体"/>
          <w:b/>
          <w:sz w:val="44"/>
          <w:szCs w:val="44"/>
        </w:rPr>
      </w:pPr>
      <w:r>
        <w:rPr>
          <w:rFonts w:hint="eastAsia" w:ascii="宋体" w:hAnsi="宋体" w:cs="宋体"/>
          <w:b/>
          <w:sz w:val="44"/>
          <w:szCs w:val="44"/>
        </w:rPr>
        <w:t>益阳高新区东部产业园办事处</w:t>
      </w:r>
    </w:p>
    <w:p>
      <w:pPr>
        <w:jc w:val="center"/>
        <w:rPr>
          <w:rFonts w:ascii="宋体" w:hAnsi="宋体" w:cs="宋体"/>
          <w:b/>
          <w:sz w:val="44"/>
          <w:szCs w:val="44"/>
        </w:rPr>
      </w:pPr>
      <w:r>
        <w:rPr>
          <w:rFonts w:hint="eastAsia" w:ascii="宋体" w:hAnsi="宋体" w:cs="宋体"/>
          <w:b/>
          <w:sz w:val="44"/>
          <w:szCs w:val="44"/>
        </w:rPr>
        <w:t>部门整体支出绩效自评报告</w:t>
      </w:r>
    </w:p>
    <w:p>
      <w:pPr>
        <w:rPr>
          <w:rFonts w:ascii="宋体" w:hAnsi="宋体" w:cs="宋体"/>
        </w:rPr>
      </w:pPr>
    </w:p>
    <w:p>
      <w:pPr>
        <w:ind w:firstLine="420" w:firstLineChars="200"/>
        <w:rPr>
          <w:rFonts w:ascii="宋体" w:hAnsi="宋体"/>
          <w:b/>
          <w:szCs w:val="32"/>
        </w:rPr>
      </w:pPr>
      <w:r>
        <w:rPr>
          <w:rFonts w:hint="eastAsia" w:ascii="宋体" w:hAnsi="宋体"/>
          <w:b/>
          <w:szCs w:val="32"/>
        </w:rPr>
        <w:t>一、基本情况</w:t>
      </w:r>
    </w:p>
    <w:p>
      <w:pPr>
        <w:ind w:firstLine="420" w:firstLineChars="200"/>
        <w:rPr>
          <w:rFonts w:ascii="宋体" w:hAnsi="宋体"/>
          <w:b/>
          <w:szCs w:val="32"/>
        </w:rPr>
      </w:pPr>
      <w:r>
        <w:rPr>
          <w:rFonts w:hint="eastAsia" w:ascii="宋体" w:hAnsi="宋体"/>
          <w:b/>
          <w:szCs w:val="32"/>
        </w:rPr>
        <w:t>（一）部门职责</w:t>
      </w:r>
    </w:p>
    <w:p>
      <w:pPr>
        <w:ind w:firstLine="420" w:firstLineChars="200"/>
        <w:rPr>
          <w:rFonts w:ascii="仿宋" w:hAnsi="仿宋" w:eastAsia="仿宋"/>
          <w:szCs w:val="32"/>
        </w:rPr>
      </w:pPr>
      <w:r>
        <w:rPr>
          <w:rFonts w:hint="eastAsia" w:ascii="仿宋" w:hAnsi="仿宋" w:eastAsia="仿宋"/>
          <w:szCs w:val="32"/>
        </w:rPr>
        <w:t>益阳高新区东部产业园办事处为全额财政补助事业单位，核定编制18个，实有人员44人；内设机构有办公室、社会治安与应急管理办、农村经济发展办、社会事务办、政务服务中心、拆迁安置办、征地与施工环境协调办、纪检监察室、规划执法中队。</w:t>
      </w:r>
    </w:p>
    <w:p>
      <w:pPr>
        <w:ind w:firstLine="420" w:firstLineChars="200"/>
        <w:rPr>
          <w:rFonts w:ascii="仿宋" w:hAnsi="仿宋" w:eastAsia="仿宋"/>
          <w:szCs w:val="32"/>
        </w:rPr>
      </w:pPr>
      <w:r>
        <w:rPr>
          <w:rFonts w:hint="eastAsia" w:ascii="仿宋" w:hAnsi="仿宋" w:eastAsia="仿宋"/>
          <w:szCs w:val="32"/>
        </w:rPr>
        <w:t>具体职责如下：</w:t>
      </w:r>
    </w:p>
    <w:p>
      <w:pPr>
        <w:ind w:firstLine="420" w:firstLineChars="200"/>
        <w:rPr>
          <w:rFonts w:ascii="仿宋" w:hAnsi="仿宋" w:eastAsia="仿宋"/>
          <w:szCs w:val="32"/>
        </w:rPr>
      </w:pPr>
      <w:r>
        <w:rPr>
          <w:rFonts w:hint="eastAsia" w:ascii="仿宋" w:hAnsi="仿宋" w:eastAsia="仿宋"/>
          <w:szCs w:val="32"/>
        </w:rPr>
        <w:t>（一）负责益阳高新区东部产业园辖区内村组党建、计划生育、武装、信访、卫生、经营管理、财务审计工作；</w:t>
      </w:r>
    </w:p>
    <w:p>
      <w:pPr>
        <w:ind w:firstLine="420" w:firstLineChars="200"/>
        <w:rPr>
          <w:rFonts w:ascii="仿宋" w:hAnsi="仿宋" w:eastAsia="仿宋"/>
          <w:szCs w:val="32"/>
        </w:rPr>
      </w:pPr>
      <w:r>
        <w:rPr>
          <w:rFonts w:hint="eastAsia" w:ascii="仿宋" w:hAnsi="仿宋" w:eastAsia="仿宋"/>
          <w:szCs w:val="32"/>
        </w:rPr>
        <w:t>（二）牵头负责查违拆违和城管执法；</w:t>
      </w:r>
    </w:p>
    <w:p>
      <w:pPr>
        <w:ind w:firstLine="420" w:firstLineChars="200"/>
        <w:rPr>
          <w:rFonts w:ascii="仿宋" w:hAnsi="仿宋" w:eastAsia="仿宋"/>
          <w:szCs w:val="32"/>
        </w:rPr>
      </w:pPr>
      <w:r>
        <w:rPr>
          <w:rFonts w:hint="eastAsia" w:ascii="仿宋" w:hAnsi="仿宋" w:eastAsia="仿宋"/>
          <w:szCs w:val="32"/>
        </w:rPr>
        <w:t>（三）负责辖区内经济建设软环境建设；</w:t>
      </w:r>
    </w:p>
    <w:p>
      <w:pPr>
        <w:ind w:firstLine="420" w:firstLineChars="200"/>
        <w:rPr>
          <w:rFonts w:ascii="仿宋" w:hAnsi="仿宋" w:eastAsia="仿宋"/>
          <w:szCs w:val="32"/>
        </w:rPr>
      </w:pPr>
      <w:r>
        <w:rPr>
          <w:rFonts w:hint="eastAsia" w:ascii="仿宋" w:hAnsi="仿宋" w:eastAsia="仿宋"/>
          <w:szCs w:val="32"/>
        </w:rPr>
        <w:t>（四）负责办事处、村（资管委）、社区干部的思想政治工作和村支两委的班子建设；</w:t>
      </w:r>
    </w:p>
    <w:p>
      <w:pPr>
        <w:ind w:firstLine="420" w:firstLineChars="200"/>
        <w:rPr>
          <w:rFonts w:ascii="仿宋" w:hAnsi="仿宋" w:eastAsia="仿宋"/>
          <w:szCs w:val="32"/>
        </w:rPr>
      </w:pPr>
      <w:r>
        <w:rPr>
          <w:rFonts w:hint="eastAsia" w:ascii="仿宋" w:hAnsi="仿宋" w:eastAsia="仿宋"/>
          <w:szCs w:val="32"/>
        </w:rPr>
        <w:t>（五）负责村级干部的考察、考核，按干部管理程序进行任免和奖惩；</w:t>
      </w:r>
    </w:p>
    <w:p>
      <w:pPr>
        <w:ind w:firstLine="420" w:firstLineChars="200"/>
        <w:rPr>
          <w:rFonts w:ascii="仿宋" w:hAnsi="仿宋" w:eastAsia="仿宋"/>
          <w:szCs w:val="32"/>
        </w:rPr>
      </w:pPr>
      <w:r>
        <w:rPr>
          <w:rFonts w:hint="eastAsia" w:ascii="仿宋" w:hAnsi="仿宋" w:eastAsia="仿宋"/>
          <w:szCs w:val="32"/>
        </w:rPr>
        <w:t>（六）管理办事处下辖村的行政社会事务；</w:t>
      </w:r>
    </w:p>
    <w:p>
      <w:pPr>
        <w:ind w:firstLine="420" w:firstLineChars="200"/>
        <w:rPr>
          <w:rFonts w:ascii="仿宋" w:hAnsi="仿宋" w:eastAsia="仿宋"/>
          <w:szCs w:val="32"/>
        </w:rPr>
      </w:pPr>
      <w:r>
        <w:rPr>
          <w:rFonts w:hint="eastAsia" w:ascii="仿宋" w:hAnsi="仿宋" w:eastAsia="仿宋"/>
          <w:szCs w:val="32"/>
        </w:rPr>
        <w:t>（七）负责农业生产和科技的推广应用及村级经济的发展工作；</w:t>
      </w:r>
    </w:p>
    <w:p>
      <w:pPr>
        <w:ind w:firstLine="420" w:firstLineChars="200"/>
        <w:rPr>
          <w:rFonts w:ascii="仿宋" w:hAnsi="仿宋" w:eastAsia="仿宋"/>
          <w:szCs w:val="32"/>
        </w:rPr>
      </w:pPr>
      <w:r>
        <w:rPr>
          <w:rFonts w:hint="eastAsia" w:ascii="仿宋" w:hAnsi="仿宋" w:eastAsia="仿宋"/>
          <w:szCs w:val="32"/>
        </w:rPr>
        <w:t>（八）负责村企业的管理、发展及服务工作；</w:t>
      </w:r>
    </w:p>
    <w:p>
      <w:pPr>
        <w:ind w:firstLine="420" w:firstLineChars="200"/>
        <w:rPr>
          <w:rFonts w:ascii="仿宋" w:hAnsi="仿宋" w:eastAsia="仿宋"/>
          <w:szCs w:val="32"/>
        </w:rPr>
      </w:pPr>
      <w:r>
        <w:rPr>
          <w:rFonts w:hint="eastAsia" w:ascii="仿宋" w:hAnsi="仿宋" w:eastAsia="仿宋"/>
          <w:szCs w:val="32"/>
        </w:rPr>
        <w:t>（九）协助农业、水利、民政、科技文教等工作，完成主管部门下达的年度人口控制计划；</w:t>
      </w:r>
    </w:p>
    <w:p>
      <w:pPr>
        <w:ind w:firstLine="420" w:firstLineChars="200"/>
        <w:rPr>
          <w:rFonts w:ascii="仿宋" w:hAnsi="仿宋" w:eastAsia="仿宋"/>
          <w:szCs w:val="32"/>
        </w:rPr>
      </w:pPr>
      <w:r>
        <w:rPr>
          <w:rFonts w:hint="eastAsia" w:ascii="仿宋" w:hAnsi="仿宋" w:eastAsia="仿宋"/>
          <w:szCs w:val="32"/>
        </w:rPr>
        <w:t>（十）负责辖区内征地拆迁安置工作。</w:t>
      </w:r>
    </w:p>
    <w:p>
      <w:pPr>
        <w:ind w:firstLine="420" w:firstLineChars="200"/>
        <w:rPr>
          <w:rFonts w:ascii="仿宋" w:hAnsi="仿宋" w:eastAsia="仿宋"/>
          <w:szCs w:val="32"/>
        </w:rPr>
      </w:pPr>
      <w:r>
        <w:rPr>
          <w:rFonts w:hint="eastAsia" w:ascii="仿宋" w:hAnsi="仿宋" w:eastAsia="仿宋"/>
          <w:szCs w:val="32"/>
        </w:rPr>
        <w:t>（二）2020年部门整体支出情况</w:t>
      </w:r>
    </w:p>
    <w:p>
      <w:pPr>
        <w:ind w:firstLine="420" w:firstLineChars="200"/>
        <w:rPr>
          <w:rFonts w:ascii="仿宋" w:hAnsi="仿宋" w:eastAsia="仿宋"/>
          <w:szCs w:val="32"/>
        </w:rPr>
      </w:pPr>
      <w:r>
        <w:rPr>
          <w:rFonts w:hint="eastAsia" w:ascii="仿宋" w:hAnsi="仿宋" w:eastAsia="仿宋"/>
          <w:szCs w:val="32"/>
        </w:rPr>
        <w:t>2021年度我单位收入总计1586.4万元，其中一般公共预算财政拨款收入1515.75万元,其他收入70.64万元。支出总计1586.4万元，其中：一般公共服务支出497.87万元，公共安全支出5.99万元，教育支出1.66万元，社会保障和就业支出74.81万元，卫生健康支出39.01万元，节能环保支出93.93万元，城乡社区支出482.78万元，农林水支出297.06万元，交通运输支出8万元，自然资源海洋气象等支出10万元，住房保障支出37.91万元，灾害防治与应急管理支出32.4万元，其他支出4.98万元。</w:t>
      </w:r>
    </w:p>
    <w:p>
      <w:pPr>
        <w:ind w:firstLine="420" w:firstLineChars="200"/>
        <w:rPr>
          <w:rFonts w:ascii="仿宋" w:hAnsi="仿宋" w:eastAsia="仿宋"/>
          <w:szCs w:val="32"/>
        </w:rPr>
      </w:pPr>
      <w:r>
        <w:rPr>
          <w:rFonts w:hint="eastAsia" w:ascii="仿宋" w:hAnsi="仿宋" w:eastAsia="仿宋"/>
          <w:szCs w:val="32"/>
        </w:rPr>
        <w:t>（三）2020年度部门整体支出绩效目标设定情况</w:t>
      </w:r>
    </w:p>
    <w:p>
      <w:pPr>
        <w:ind w:firstLine="420" w:firstLineChars="200"/>
        <w:rPr>
          <w:rFonts w:ascii="仿宋" w:hAnsi="仿宋" w:eastAsia="仿宋"/>
          <w:szCs w:val="32"/>
        </w:rPr>
      </w:pPr>
      <w:r>
        <w:rPr>
          <w:rFonts w:hint="eastAsia" w:ascii="仿宋" w:hAnsi="仿宋" w:eastAsia="仿宋"/>
          <w:szCs w:val="32"/>
        </w:rPr>
        <w:t xml:space="preserve">部门整体支出年度绩效目标：1、完成高新区工委、管委会安排和交办的各项任务；2、完成年度工作计划，搞好各项工作，保障安全生产，维护社会稳定，促进农业生产，改善农村居住环境，努力推进园区的开发建设。  </w:t>
      </w:r>
    </w:p>
    <w:p>
      <w:pPr>
        <w:ind w:firstLine="420" w:firstLineChars="200"/>
        <w:rPr>
          <w:rFonts w:ascii="仿宋" w:hAnsi="仿宋" w:eastAsia="仿宋"/>
          <w:szCs w:val="32"/>
        </w:rPr>
      </w:pPr>
      <w:r>
        <w:rPr>
          <w:rFonts w:hint="eastAsia" w:ascii="仿宋" w:hAnsi="仿宋" w:eastAsia="仿宋"/>
          <w:szCs w:val="32"/>
        </w:rPr>
        <w:t>资金管理：制定规范的财务管理制度和费用报销流程，保证各项资金的安全、完整，并使其有效运用，提高财政资金使用效益。</w:t>
      </w:r>
    </w:p>
    <w:p>
      <w:pPr>
        <w:ind w:firstLine="420" w:firstLineChars="200"/>
        <w:rPr>
          <w:rFonts w:ascii="仿宋" w:hAnsi="仿宋" w:eastAsia="仿宋"/>
          <w:szCs w:val="32"/>
        </w:rPr>
      </w:pPr>
      <w:r>
        <w:rPr>
          <w:rFonts w:hint="eastAsia" w:ascii="仿宋" w:hAnsi="仿宋" w:eastAsia="仿宋"/>
          <w:szCs w:val="32"/>
        </w:rPr>
        <w:t>预算控制、预决算公开：按预算用途、在预算总额范围内按规定的用途使用财政资金，按照上级的要求，在规定网站上进行部门预决算公开。</w:t>
      </w:r>
    </w:p>
    <w:p>
      <w:pPr>
        <w:ind w:firstLine="420" w:firstLineChars="200"/>
        <w:rPr>
          <w:rFonts w:ascii="仿宋" w:hAnsi="仿宋" w:eastAsia="仿宋"/>
          <w:szCs w:val="32"/>
        </w:rPr>
      </w:pPr>
      <w:r>
        <w:rPr>
          <w:rFonts w:hint="eastAsia" w:ascii="仿宋" w:hAnsi="仿宋" w:eastAsia="仿宋"/>
          <w:szCs w:val="32"/>
        </w:rPr>
        <w:t>资产管理：加强资产的管理，防止资产流失。</w:t>
      </w:r>
    </w:p>
    <w:p>
      <w:pPr>
        <w:ind w:firstLine="420" w:firstLineChars="200"/>
        <w:rPr>
          <w:rFonts w:ascii="仿宋" w:hAnsi="仿宋" w:eastAsia="仿宋"/>
          <w:szCs w:val="32"/>
        </w:rPr>
      </w:pPr>
      <w:r>
        <w:rPr>
          <w:rFonts w:hint="eastAsia" w:ascii="仿宋" w:hAnsi="仿宋" w:eastAsia="仿宋"/>
          <w:szCs w:val="32"/>
        </w:rPr>
        <w:t>三公经费控制：加强三公经费预算编制和执行管理，大力推进建立和完善厉行节约的长效机制。</w:t>
      </w:r>
    </w:p>
    <w:p>
      <w:pPr>
        <w:ind w:firstLine="420" w:firstLineChars="200"/>
        <w:rPr>
          <w:rFonts w:ascii="仿宋" w:hAnsi="仿宋" w:eastAsia="仿宋"/>
          <w:szCs w:val="32"/>
        </w:rPr>
      </w:pPr>
      <w:r>
        <w:rPr>
          <w:rFonts w:hint="eastAsia" w:ascii="仿宋" w:hAnsi="仿宋" w:eastAsia="仿宋"/>
          <w:szCs w:val="32"/>
        </w:rPr>
        <w:t>内部管理制度建设：完善内部管理制度，加强部门内部控制。</w:t>
      </w:r>
    </w:p>
    <w:p>
      <w:pPr>
        <w:ind w:firstLine="420" w:firstLineChars="200"/>
        <w:rPr>
          <w:rFonts w:ascii="仿宋" w:hAnsi="仿宋" w:eastAsia="仿宋"/>
          <w:szCs w:val="32"/>
        </w:rPr>
      </w:pPr>
      <w:r>
        <w:rPr>
          <w:rFonts w:hint="eastAsia" w:ascii="仿宋" w:hAnsi="仿宋" w:eastAsia="仿宋"/>
          <w:szCs w:val="32"/>
        </w:rPr>
        <w:t>项目绩效总目标：搞好农村清洁工程，改善农村人居环境；加强农村基础设施建设，做好防汛抗旱工作，推动农业生产的发展；加强基层组织建设，化解各类社会矛盾，加大扫黑除恶力度，维护辖区社会稳定和人民群众利益，为园区开发建设创造有利条件；确保村级组织正常运转，保障村干部基本工资待遇，确保离任村干部生活补贴按时按标准发放；加大查违控违力度，实现新增违法建设零增长，逐步减少存量违建。</w:t>
      </w:r>
    </w:p>
    <w:p>
      <w:pPr>
        <w:ind w:firstLine="420" w:firstLineChars="200"/>
        <w:rPr>
          <w:rFonts w:ascii="仿宋" w:hAnsi="仿宋" w:eastAsia="仿宋"/>
          <w:szCs w:val="32"/>
        </w:rPr>
      </w:pPr>
      <w:r>
        <w:rPr>
          <w:rFonts w:hint="eastAsia" w:ascii="仿宋" w:hAnsi="仿宋" w:eastAsia="仿宋"/>
          <w:szCs w:val="32"/>
        </w:rPr>
        <w:t>（四）部门整体支出情况分析</w:t>
      </w:r>
    </w:p>
    <w:p>
      <w:pPr>
        <w:ind w:firstLine="420" w:firstLineChars="200"/>
        <w:rPr>
          <w:rFonts w:ascii="仿宋" w:hAnsi="仿宋" w:eastAsia="仿宋"/>
          <w:szCs w:val="32"/>
        </w:rPr>
      </w:pPr>
      <w:r>
        <w:rPr>
          <w:rFonts w:hint="eastAsia" w:ascii="仿宋" w:hAnsi="仿宋" w:eastAsia="仿宋"/>
          <w:szCs w:val="32"/>
        </w:rPr>
        <w:t>2021年度支出总计1586.4万元，其中：基本支出518.79万元，项目支出1067.61万元。具体支出情况如下：</w:t>
      </w:r>
    </w:p>
    <w:p>
      <w:pPr>
        <w:ind w:firstLine="420" w:firstLineChars="200"/>
        <w:rPr>
          <w:rFonts w:ascii="仿宋" w:hAnsi="仿宋" w:eastAsia="仿宋"/>
          <w:szCs w:val="32"/>
        </w:rPr>
      </w:pPr>
      <w:r>
        <w:rPr>
          <w:rFonts w:hint="eastAsia" w:ascii="仿宋" w:hAnsi="仿宋" w:eastAsia="仿宋"/>
          <w:szCs w:val="32"/>
        </w:rPr>
        <w:t>1.部门2021年度基本支出使用管理情况</w:t>
      </w:r>
    </w:p>
    <w:p>
      <w:pPr>
        <w:ind w:firstLine="420" w:firstLineChars="200"/>
        <w:rPr>
          <w:rFonts w:ascii="仿宋" w:hAnsi="仿宋" w:eastAsia="仿宋"/>
          <w:szCs w:val="32"/>
        </w:rPr>
      </w:pPr>
      <w:r>
        <w:rPr>
          <w:rFonts w:hint="eastAsia" w:ascii="仿宋" w:hAnsi="仿宋" w:eastAsia="仿宋"/>
          <w:szCs w:val="32"/>
        </w:rPr>
        <w:t>2021年度一般公共预算财政拨款基本支出518.79万元，其中人员经费支出422.52万元，主要包括：基本工资、津贴补贴、绩效工资、其他工资福利支出、住房公积金；公用经费支出96.27万元。主要包括：办公费、印刷费、邮电费、差旅费、劳务费、其他交通费、办公设备购置、其他商品和服务支出等。部门基本支出各项付款审批、支付手续完善，基本支出使用管理较好。</w:t>
      </w:r>
    </w:p>
    <w:p>
      <w:pPr>
        <w:ind w:firstLine="420" w:firstLineChars="200"/>
        <w:rPr>
          <w:rFonts w:ascii="仿宋" w:hAnsi="仿宋" w:eastAsia="仿宋"/>
          <w:szCs w:val="32"/>
        </w:rPr>
      </w:pPr>
      <w:r>
        <w:rPr>
          <w:rFonts w:hint="eastAsia" w:ascii="仿宋" w:hAnsi="仿宋" w:eastAsia="仿宋"/>
          <w:szCs w:val="32"/>
        </w:rPr>
        <w:t>2.部门2021年度“三公”经费使用管理情况</w:t>
      </w:r>
    </w:p>
    <w:p>
      <w:pPr>
        <w:ind w:firstLine="420" w:firstLineChars="200"/>
        <w:rPr>
          <w:rFonts w:ascii="仿宋" w:hAnsi="仿宋" w:eastAsia="仿宋"/>
          <w:szCs w:val="32"/>
        </w:rPr>
      </w:pPr>
      <w:r>
        <w:rPr>
          <w:rFonts w:hint="eastAsia" w:ascii="仿宋" w:hAnsi="仿宋" w:eastAsia="仿宋"/>
          <w:szCs w:val="32"/>
        </w:rPr>
        <w:t>办事处2021年度“三公”经费财政拨款支出预算数为10.5万元，支出决算数为2.52万元,较2020年决算数略有减少。</w:t>
      </w:r>
    </w:p>
    <w:p>
      <w:pPr>
        <w:ind w:firstLine="420" w:firstLineChars="200"/>
        <w:rPr>
          <w:rFonts w:ascii="仿宋" w:hAnsi="仿宋" w:eastAsia="仿宋"/>
          <w:szCs w:val="32"/>
        </w:rPr>
      </w:pPr>
      <w:r>
        <w:rPr>
          <w:rFonts w:hint="eastAsia" w:ascii="仿宋" w:hAnsi="仿宋" w:eastAsia="仿宋"/>
          <w:szCs w:val="32"/>
        </w:rPr>
        <w:t>2021年度“三公”经费支出决算数小于预算数的主要原因：办事处认真贯彻执行中央“八项规定”、省委“九项规定”、市委“十项规定”精神，坚持厉行节约，进一步优化支出结构，加强公务接待的管理，从严控制“三公”经费开支范围，相应减少了支出。</w:t>
      </w:r>
    </w:p>
    <w:p>
      <w:pPr>
        <w:ind w:firstLine="420" w:firstLineChars="200"/>
        <w:rPr>
          <w:rFonts w:ascii="仿宋" w:hAnsi="仿宋" w:eastAsia="仿宋"/>
          <w:szCs w:val="32"/>
        </w:rPr>
      </w:pPr>
      <w:r>
        <w:rPr>
          <w:rFonts w:hint="eastAsia" w:ascii="仿宋" w:hAnsi="仿宋" w:eastAsia="仿宋"/>
          <w:szCs w:val="32"/>
        </w:rPr>
        <w:t>3. 部门2021年度专项和项目支出使用管理情况</w:t>
      </w:r>
    </w:p>
    <w:p>
      <w:pPr>
        <w:ind w:firstLine="420" w:firstLineChars="200"/>
        <w:rPr>
          <w:rFonts w:ascii="仿宋" w:hAnsi="仿宋" w:eastAsia="仿宋"/>
          <w:szCs w:val="32"/>
        </w:rPr>
      </w:pPr>
      <w:r>
        <w:rPr>
          <w:rFonts w:hint="eastAsia" w:ascii="仿宋" w:hAnsi="仿宋" w:eastAsia="仿宋"/>
          <w:szCs w:val="32"/>
        </w:rPr>
        <w:t>《办事处财务管理暂行办法》中规范了项目资金使用和项目实施的管理，专项及项目资金管理较规范，实行专款专用。2021年一般公共预算财政拨款项目支出811.7万元，主要包括商品服务支出730.16万元、资本性支出81.54万元；政府性基金预算财政拨款项目支出185.26万元，商品服务支出185.26万元；其他资金项目支出70.64万元，商品服务支出70.64万元。</w:t>
      </w:r>
    </w:p>
    <w:p>
      <w:pPr>
        <w:ind w:firstLine="420" w:firstLineChars="200"/>
        <w:rPr>
          <w:rFonts w:ascii="宋体" w:hAnsi="宋体"/>
          <w:b/>
          <w:szCs w:val="32"/>
        </w:rPr>
      </w:pPr>
      <w:r>
        <w:rPr>
          <w:rFonts w:hint="eastAsia" w:ascii="宋体" w:hAnsi="宋体"/>
          <w:b/>
          <w:szCs w:val="32"/>
        </w:rPr>
        <w:t>二、绩效评价工作组织实施情况</w:t>
      </w:r>
    </w:p>
    <w:p>
      <w:pPr>
        <w:ind w:firstLine="420" w:firstLineChars="200"/>
        <w:rPr>
          <w:rFonts w:ascii="宋体" w:hAnsi="宋体"/>
          <w:b/>
          <w:szCs w:val="32"/>
        </w:rPr>
      </w:pPr>
      <w:r>
        <w:rPr>
          <w:rFonts w:hint="eastAsia" w:ascii="仿宋" w:hAnsi="仿宋" w:eastAsia="仿宋"/>
          <w:szCs w:val="32"/>
        </w:rPr>
        <w:t>1、评价目的</w:t>
      </w:r>
    </w:p>
    <w:p>
      <w:pPr>
        <w:ind w:firstLine="420" w:firstLineChars="200"/>
        <w:rPr>
          <w:rFonts w:ascii="宋体" w:hAnsi="宋体"/>
          <w:b/>
          <w:szCs w:val="32"/>
        </w:rPr>
      </w:pPr>
      <w:r>
        <w:rPr>
          <w:rFonts w:hint="eastAsia" w:ascii="仿宋" w:hAnsi="仿宋" w:eastAsia="仿宋"/>
          <w:szCs w:val="32"/>
        </w:rPr>
        <w:t>通过运用科学、合理的绩效评价指标、评价标准和评价方法，对本单位财政资金使用情况、财务管理状况进行自查，同时通过总结本单位预算绩效管理工作的经验和主要做法，找出存在的问题，为整体提升本单位预算绩效管理工作水平提出意见、建议，切实提高财政资金使用效益。</w:t>
      </w:r>
    </w:p>
    <w:p>
      <w:pPr>
        <w:ind w:firstLine="420" w:firstLineChars="200"/>
        <w:rPr>
          <w:rFonts w:ascii="宋体" w:hAnsi="宋体"/>
          <w:b/>
          <w:szCs w:val="32"/>
        </w:rPr>
      </w:pPr>
      <w:r>
        <w:rPr>
          <w:rFonts w:hint="eastAsia" w:ascii="仿宋" w:hAnsi="仿宋" w:eastAsia="仿宋"/>
          <w:szCs w:val="32"/>
        </w:rPr>
        <w:t>2、评价依据</w:t>
      </w:r>
    </w:p>
    <w:p>
      <w:pPr>
        <w:ind w:firstLine="420" w:firstLineChars="200"/>
        <w:rPr>
          <w:rFonts w:ascii="仿宋" w:hAnsi="仿宋" w:eastAsia="仿宋"/>
          <w:szCs w:val="32"/>
        </w:rPr>
      </w:pPr>
      <w:r>
        <w:rPr>
          <w:rFonts w:hint="eastAsia" w:ascii="仿宋" w:hAnsi="仿宋" w:eastAsia="仿宋"/>
          <w:szCs w:val="32"/>
        </w:rPr>
        <w:t>根据《中共中央国务院关于全面实施预算绩效管理的意见》（中发[2018]34号）、财政部《财政支出绩效评价管理暂行办法》（财预[2011]285号）、《湖南省财政厅关于印发</w:t>
      </w:r>
      <w:r>
        <w:rPr>
          <w:rFonts w:hint="eastAsia" w:ascii="宋体" w:hAnsi="宋体" w:cs="宋体"/>
          <w:szCs w:val="32"/>
        </w:rPr>
        <w:t>&lt;</w:t>
      </w:r>
      <w:r>
        <w:rPr>
          <w:rFonts w:hint="eastAsia" w:ascii="仿宋" w:hAnsi="仿宋" w:eastAsia="仿宋"/>
          <w:szCs w:val="32"/>
        </w:rPr>
        <w:t>湖南省预算绩效管理工作规程</w:t>
      </w:r>
      <w:r>
        <w:rPr>
          <w:rFonts w:hint="eastAsia" w:ascii="宋体" w:hAnsi="宋体" w:cs="宋体"/>
          <w:szCs w:val="32"/>
        </w:rPr>
        <w:t>&gt;</w:t>
      </w:r>
      <w:r>
        <w:rPr>
          <w:rFonts w:hint="eastAsia" w:ascii="仿宋" w:hAnsi="仿宋" w:eastAsia="仿宋"/>
          <w:szCs w:val="32"/>
        </w:rPr>
        <w:t>（试行）的通知》（益财高绩[2013]131号）及其他有关法律法规和规章制度，结合我单位实际，对本单位2021年度部门整体支出进行绩效评价。</w:t>
      </w:r>
    </w:p>
    <w:p>
      <w:pPr>
        <w:ind w:firstLine="420" w:firstLineChars="200"/>
        <w:rPr>
          <w:rFonts w:ascii="宋体" w:hAnsi="宋体"/>
          <w:b/>
          <w:szCs w:val="32"/>
        </w:rPr>
      </w:pPr>
      <w:r>
        <w:rPr>
          <w:rFonts w:hint="eastAsia" w:ascii="宋体" w:hAnsi="宋体"/>
          <w:b/>
          <w:szCs w:val="32"/>
        </w:rPr>
        <w:t>三、主要绩效及评价结论</w:t>
      </w:r>
    </w:p>
    <w:p>
      <w:pPr>
        <w:ind w:firstLine="420" w:firstLineChars="200"/>
        <w:rPr>
          <w:rFonts w:ascii="仿宋" w:hAnsi="仿宋" w:eastAsia="仿宋"/>
          <w:szCs w:val="32"/>
        </w:rPr>
      </w:pPr>
      <w:r>
        <w:rPr>
          <w:rFonts w:hint="eastAsia" w:ascii="仿宋" w:hAnsi="仿宋" w:eastAsia="仿宋"/>
          <w:szCs w:val="32"/>
        </w:rPr>
        <w:t>（一）2021年主要成绩</w:t>
      </w:r>
    </w:p>
    <w:p>
      <w:pPr>
        <w:numPr>
          <w:ilvl w:val="0"/>
          <w:numId w:val="2"/>
        </w:numPr>
        <w:ind w:firstLine="420" w:firstLineChars="200"/>
        <w:rPr>
          <w:rFonts w:ascii="仿宋" w:hAnsi="仿宋" w:eastAsia="仿宋"/>
          <w:szCs w:val="32"/>
        </w:rPr>
      </w:pPr>
      <w:r>
        <w:rPr>
          <w:rFonts w:hint="eastAsia" w:ascii="仿宋" w:hAnsi="仿宋" w:eastAsia="仿宋"/>
          <w:szCs w:val="32"/>
        </w:rPr>
        <w:t>征地拆迁成效明显，施工环境全面优化，项目建设进展顺利；</w:t>
      </w:r>
    </w:p>
    <w:p>
      <w:pPr>
        <w:numPr>
          <w:ilvl w:val="0"/>
          <w:numId w:val="2"/>
        </w:numPr>
        <w:ind w:firstLine="420" w:firstLineChars="200"/>
        <w:rPr>
          <w:rFonts w:ascii="仿宋" w:hAnsi="仿宋" w:eastAsia="仿宋"/>
          <w:szCs w:val="32"/>
        </w:rPr>
      </w:pPr>
      <w:r>
        <w:rPr>
          <w:rFonts w:hint="eastAsia" w:ascii="仿宋" w:hAnsi="仿宋" w:eastAsia="仿宋"/>
          <w:szCs w:val="32"/>
        </w:rPr>
        <w:t>查违拆违成效明显，实现了2021年辖区内无新增违法违章建筑和抢栽抢种；</w:t>
      </w:r>
    </w:p>
    <w:p>
      <w:pPr>
        <w:numPr>
          <w:ilvl w:val="0"/>
          <w:numId w:val="2"/>
        </w:numPr>
        <w:ind w:firstLine="420" w:firstLineChars="200"/>
        <w:rPr>
          <w:rFonts w:ascii="仿宋" w:hAnsi="仿宋" w:eastAsia="仿宋"/>
          <w:szCs w:val="32"/>
        </w:rPr>
      </w:pPr>
      <w:r>
        <w:rPr>
          <w:rFonts w:hint="eastAsia" w:ascii="仿宋" w:hAnsi="仿宋" w:eastAsia="仿宋"/>
          <w:szCs w:val="32"/>
        </w:rPr>
        <w:t>持续抓好污染防治工作，人居环境明显改善；</w:t>
      </w:r>
    </w:p>
    <w:p>
      <w:pPr>
        <w:ind w:firstLine="420" w:firstLineChars="200"/>
        <w:rPr>
          <w:rFonts w:ascii="仿宋" w:hAnsi="仿宋" w:eastAsia="仿宋"/>
          <w:szCs w:val="32"/>
        </w:rPr>
      </w:pPr>
      <w:r>
        <w:rPr>
          <w:rFonts w:hint="eastAsia" w:ascii="仿宋" w:hAnsi="仿宋" w:eastAsia="仿宋"/>
          <w:szCs w:val="32"/>
        </w:rPr>
        <w:t>（4）抓综治维稳，为群众排忧解难；开展扫黑除恶专项斗争，净化园区社会风气；</w:t>
      </w:r>
    </w:p>
    <w:p>
      <w:pPr>
        <w:ind w:firstLine="420" w:firstLineChars="200"/>
        <w:rPr>
          <w:rFonts w:ascii="仿宋" w:hAnsi="仿宋" w:eastAsia="仿宋"/>
          <w:szCs w:val="32"/>
        </w:rPr>
      </w:pPr>
      <w:r>
        <w:rPr>
          <w:rFonts w:hint="eastAsia" w:ascii="仿宋" w:hAnsi="仿宋" w:eastAsia="仿宋"/>
          <w:szCs w:val="32"/>
        </w:rPr>
        <w:t>（5）抓好日常管理，各项工作协调推进。意识形态、农合筹资、计划生育、农业生产、森林防火、安全生产、河长制工作等扎实开展；</w:t>
      </w:r>
    </w:p>
    <w:p>
      <w:pPr>
        <w:ind w:firstLine="420" w:firstLineChars="200"/>
        <w:rPr>
          <w:rFonts w:ascii="宋体" w:hAnsi="宋体"/>
          <w:b/>
          <w:szCs w:val="32"/>
        </w:rPr>
      </w:pPr>
      <w:r>
        <w:rPr>
          <w:rFonts w:hint="eastAsia" w:ascii="仿宋" w:hAnsi="仿宋" w:eastAsia="仿宋"/>
          <w:szCs w:val="32"/>
        </w:rPr>
        <w:t>（6）资金管理规范合理，资金支出审批到位，尤其是专项经费支出严格按规定、按项目内容专款专用，按项目实施进度进行资金拨付，无截留、挪用资金现象；</w:t>
      </w:r>
    </w:p>
    <w:p>
      <w:pPr>
        <w:ind w:firstLine="420" w:firstLineChars="200"/>
        <w:rPr>
          <w:rFonts w:ascii="宋体" w:hAnsi="宋体"/>
          <w:b/>
          <w:szCs w:val="32"/>
        </w:rPr>
      </w:pPr>
      <w:r>
        <w:rPr>
          <w:rFonts w:hint="eastAsia" w:ascii="仿宋" w:hAnsi="仿宋" w:eastAsia="仿宋"/>
          <w:szCs w:val="32"/>
        </w:rPr>
        <w:t>（7）单位支出总额控制在预算范围内，年度预决算按规定时间在高新区网站上进行了公示；</w:t>
      </w:r>
    </w:p>
    <w:p>
      <w:pPr>
        <w:ind w:firstLine="420" w:firstLineChars="200"/>
        <w:rPr>
          <w:rFonts w:ascii="宋体" w:hAnsi="宋体"/>
          <w:b/>
          <w:szCs w:val="32"/>
        </w:rPr>
      </w:pPr>
      <w:r>
        <w:rPr>
          <w:rFonts w:hint="eastAsia" w:ascii="仿宋" w:hAnsi="仿宋" w:eastAsia="仿宋"/>
          <w:szCs w:val="32"/>
        </w:rPr>
        <w:t>（8）加强资产管理，资产账实相符，2021年度未发生资产流失现象；</w:t>
      </w:r>
    </w:p>
    <w:p>
      <w:pPr>
        <w:ind w:firstLine="420" w:firstLineChars="200"/>
        <w:rPr>
          <w:rFonts w:ascii="宋体" w:hAnsi="宋体"/>
          <w:b/>
          <w:szCs w:val="32"/>
        </w:rPr>
      </w:pPr>
      <w:r>
        <w:rPr>
          <w:rFonts w:hint="eastAsia" w:ascii="仿宋" w:hAnsi="仿宋" w:eastAsia="仿宋"/>
          <w:szCs w:val="32"/>
        </w:rPr>
        <w:t>（9）严格控制“三公”经费，本年度“三公”经费支出为2.52万元，较年初预算大幅度的降低。</w:t>
      </w:r>
    </w:p>
    <w:p>
      <w:pPr>
        <w:ind w:firstLine="420" w:firstLineChars="200"/>
        <w:rPr>
          <w:rFonts w:ascii="宋体" w:hAnsi="宋体"/>
          <w:b/>
          <w:szCs w:val="32"/>
        </w:rPr>
      </w:pPr>
      <w:r>
        <w:rPr>
          <w:rFonts w:hint="eastAsia" w:ascii="宋体" w:hAnsi="宋体"/>
          <w:b/>
          <w:szCs w:val="32"/>
        </w:rPr>
        <w:t>（二）评价结论</w:t>
      </w:r>
    </w:p>
    <w:p>
      <w:pPr>
        <w:ind w:firstLine="420" w:firstLineChars="200"/>
        <w:rPr>
          <w:rFonts w:ascii="仿宋" w:hAnsi="仿宋" w:eastAsia="仿宋"/>
          <w:szCs w:val="32"/>
        </w:rPr>
      </w:pPr>
      <w:r>
        <w:rPr>
          <w:rFonts w:hint="eastAsia" w:ascii="仿宋" w:hAnsi="仿宋" w:eastAsia="仿宋"/>
          <w:szCs w:val="32"/>
        </w:rPr>
        <w:t>根据市财政局高新区分局《关于做好2021年度预算绩效自评工作的通知》（益财高绩[2022]1号）文件的有关要求，对我单位2021年度整体支出进行了综合评分，2021年部门整体支出绩效评价指标总分值100分，实得</w:t>
      </w:r>
      <w:r>
        <w:rPr>
          <w:rFonts w:hint="eastAsia" w:ascii="仿宋" w:hAnsi="仿宋" w:eastAsia="仿宋"/>
          <w:color w:val="000000"/>
          <w:szCs w:val="32"/>
        </w:rPr>
        <w:t>95.5</w:t>
      </w:r>
      <w:r>
        <w:rPr>
          <w:rFonts w:hint="eastAsia" w:ascii="仿宋" w:hAnsi="仿宋" w:eastAsia="仿宋"/>
          <w:color w:val="FF0000"/>
          <w:szCs w:val="32"/>
        </w:rPr>
        <w:t xml:space="preserve"> </w:t>
      </w:r>
      <w:r>
        <w:rPr>
          <w:rFonts w:hint="eastAsia" w:ascii="仿宋" w:hAnsi="仿宋" w:eastAsia="仿宋"/>
          <w:szCs w:val="32"/>
        </w:rPr>
        <w:t>分。（详见附件：2021年部门整体支出绩效评价指标计分表）</w:t>
      </w:r>
    </w:p>
    <w:p>
      <w:pPr>
        <w:numPr>
          <w:ilvl w:val="0"/>
          <w:numId w:val="3"/>
        </w:numPr>
        <w:ind w:firstLine="420" w:firstLineChars="200"/>
        <w:rPr>
          <w:rFonts w:ascii="宋体" w:hAnsi="宋体"/>
          <w:b/>
          <w:szCs w:val="32"/>
        </w:rPr>
      </w:pPr>
      <w:r>
        <w:rPr>
          <w:rFonts w:hint="eastAsia" w:ascii="宋体" w:hAnsi="宋体"/>
          <w:b/>
          <w:szCs w:val="32"/>
        </w:rPr>
        <w:t>部门整体支出绩效评价发现的问题</w:t>
      </w:r>
    </w:p>
    <w:p>
      <w:pPr>
        <w:ind w:firstLine="420" w:firstLineChars="200"/>
        <w:rPr>
          <w:rFonts w:ascii="仿宋" w:hAnsi="仿宋" w:eastAsia="仿宋"/>
          <w:szCs w:val="32"/>
        </w:rPr>
      </w:pPr>
      <w:r>
        <w:rPr>
          <w:rFonts w:hint="eastAsia" w:ascii="宋体" w:hAnsi="宋体"/>
          <w:bCs/>
          <w:szCs w:val="32"/>
        </w:rPr>
        <w:t>项目资金预算执行进度偏慢，部分项目资金管理不够规范。</w:t>
      </w:r>
    </w:p>
    <w:p>
      <w:pPr>
        <w:ind w:firstLine="420" w:firstLineChars="200"/>
        <w:rPr>
          <w:rFonts w:ascii="宋体" w:hAnsi="宋体"/>
          <w:b/>
          <w:szCs w:val="32"/>
        </w:rPr>
      </w:pPr>
      <w:r>
        <w:rPr>
          <w:rFonts w:hint="eastAsia" w:ascii="宋体" w:hAnsi="宋体"/>
          <w:b/>
          <w:szCs w:val="32"/>
        </w:rPr>
        <w:t>五、相关意见与建议</w:t>
      </w:r>
    </w:p>
    <w:p>
      <w:pPr>
        <w:ind w:firstLine="420" w:firstLineChars="200"/>
        <w:rPr>
          <w:rFonts w:ascii="黑体" w:eastAsia="黑体"/>
          <w:sz w:val="32"/>
          <w:szCs w:val="32"/>
        </w:rPr>
      </w:pPr>
      <w:r>
        <w:rPr>
          <w:rFonts w:hint="eastAsia" w:ascii="仿宋" w:hAnsi="仿宋" w:eastAsia="仿宋"/>
          <w:szCs w:val="32"/>
        </w:rPr>
        <w:t>进一步完善财务管理制度，严格财务审核。特别是加强项目资金使用管理、完善审批流程、严格财务核算，加快预算执行进度。</w:t>
      </w: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r>
        <w:rPr>
          <w:rFonts w:hint="eastAsia" w:ascii="黑体" w:eastAsia="黑体"/>
          <w:sz w:val="32"/>
          <w:szCs w:val="32"/>
        </w:rPr>
        <w:t>附件3：</w:t>
      </w:r>
    </w:p>
    <w:p>
      <w:pPr>
        <w:spacing w:line="360" w:lineRule="auto"/>
        <w:jc w:val="center"/>
        <w:rPr>
          <w:rFonts w:ascii="方正小标宋简体" w:hAnsi="黑体" w:eastAsia="方正小标宋简体"/>
          <w:bCs/>
          <w:sz w:val="36"/>
          <w:szCs w:val="36"/>
        </w:rPr>
      </w:pPr>
      <w:r>
        <w:rPr>
          <w:rFonts w:hint="eastAsia" w:ascii="方正小标宋简体" w:hAnsi="黑体" w:eastAsia="方正小标宋简体" w:cs="方正小标宋简体"/>
          <w:bCs/>
          <w:sz w:val="36"/>
          <w:szCs w:val="36"/>
        </w:rPr>
        <w:t>2021年度部门整体支出绩效自评表</w:t>
      </w:r>
    </w:p>
    <w:tbl>
      <w:tblPr>
        <w:tblStyle w:val="5"/>
        <w:tblW w:w="8820" w:type="dxa"/>
        <w:jc w:val="center"/>
        <w:tblLayout w:type="fixed"/>
        <w:tblCellMar>
          <w:top w:w="0" w:type="dxa"/>
          <w:left w:w="108" w:type="dxa"/>
          <w:bottom w:w="0" w:type="dxa"/>
          <w:right w:w="108" w:type="dxa"/>
        </w:tblCellMar>
      </w:tblPr>
      <w:tblGrid>
        <w:gridCol w:w="682"/>
        <w:gridCol w:w="850"/>
        <w:gridCol w:w="993"/>
        <w:gridCol w:w="2413"/>
        <w:gridCol w:w="3257"/>
        <w:gridCol w:w="625"/>
      </w:tblGrid>
      <w:tr>
        <w:tblPrEx>
          <w:tblCellMar>
            <w:top w:w="0" w:type="dxa"/>
            <w:left w:w="108" w:type="dxa"/>
            <w:bottom w:w="0" w:type="dxa"/>
            <w:right w:w="108" w:type="dxa"/>
          </w:tblCellMar>
        </w:tblPrEx>
        <w:trPr>
          <w:tblHeader/>
          <w:jc w:val="center"/>
        </w:trPr>
        <w:tc>
          <w:tcPr>
            <w:tcW w:w="682"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一级指标</w:t>
            </w:r>
          </w:p>
        </w:tc>
        <w:tc>
          <w:tcPr>
            <w:tcW w:w="85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二级</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指标</w:t>
            </w:r>
          </w:p>
        </w:tc>
        <w:tc>
          <w:tcPr>
            <w:tcW w:w="993"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三级</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指标</w:t>
            </w:r>
          </w:p>
        </w:tc>
        <w:tc>
          <w:tcPr>
            <w:tcW w:w="2413"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指标解释</w:t>
            </w:r>
          </w:p>
        </w:tc>
        <w:tc>
          <w:tcPr>
            <w:tcW w:w="3257"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指标说明</w:t>
            </w:r>
          </w:p>
        </w:tc>
        <w:tc>
          <w:tcPr>
            <w:tcW w:w="625"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自评得分</w:t>
            </w:r>
          </w:p>
        </w:tc>
      </w:tr>
      <w:tr>
        <w:tblPrEx>
          <w:tblCellMar>
            <w:top w:w="0" w:type="dxa"/>
            <w:left w:w="108" w:type="dxa"/>
            <w:bottom w:w="0" w:type="dxa"/>
            <w:right w:w="108" w:type="dxa"/>
          </w:tblCellMar>
        </w:tblPrEx>
        <w:trPr>
          <w:trHeight w:val="1764" w:hRule="atLeast"/>
          <w:jc w:val="center"/>
        </w:trPr>
        <w:tc>
          <w:tcPr>
            <w:tcW w:w="682" w:type="dxa"/>
            <w:vMerge w:val="restart"/>
            <w:tcBorders>
              <w:top w:val="nil"/>
              <w:left w:val="single" w:color="auto" w:sz="4" w:space="0"/>
              <w:right w:val="single" w:color="auto" w:sz="4" w:space="0"/>
            </w:tcBorders>
            <w:textDirection w:val="tbRlV"/>
            <w:vAlign w:val="center"/>
          </w:tcPr>
          <w:p>
            <w:pPr>
              <w:widowControl/>
              <w:ind w:left="113" w:right="113"/>
              <w:jc w:val="center"/>
              <w:rPr>
                <w:rFonts w:ascii="仿宋" w:hAnsi="仿宋" w:eastAsia="仿宋" w:cs="宋体"/>
                <w:kern w:val="0"/>
                <w:sz w:val="20"/>
                <w:szCs w:val="20"/>
              </w:rPr>
            </w:pPr>
            <w:r>
              <w:rPr>
                <w:rFonts w:hint="eastAsia" w:ascii="仿宋" w:hAnsi="仿宋" w:eastAsia="仿宋" w:cs="宋体"/>
                <w:kern w:val="0"/>
                <w:sz w:val="20"/>
                <w:szCs w:val="20"/>
              </w:rPr>
              <w:t>投入（20分）</w:t>
            </w:r>
          </w:p>
        </w:tc>
        <w:tc>
          <w:tcPr>
            <w:tcW w:w="850" w:type="dxa"/>
            <w:vMerge w:val="restart"/>
            <w:tcBorders>
              <w:top w:val="nil"/>
              <w:left w:val="nil"/>
              <w:bottom w:val="single" w:color="auto" w:sz="4" w:space="0"/>
              <w:right w:val="single" w:color="auto" w:sz="4" w:space="0"/>
            </w:tcBorders>
            <w:vAlign w:val="center"/>
          </w:tcPr>
          <w:p>
            <w:pPr>
              <w:widowControl/>
              <w:spacing w:line="260" w:lineRule="exact"/>
              <w:jc w:val="center"/>
              <w:rPr>
                <w:rFonts w:ascii="仿宋" w:hAnsi="仿宋" w:eastAsia="仿宋" w:cs="宋体"/>
                <w:kern w:val="0"/>
                <w:sz w:val="20"/>
                <w:szCs w:val="20"/>
              </w:rPr>
            </w:pPr>
            <w:r>
              <w:rPr>
                <w:rFonts w:hint="eastAsia" w:ascii="仿宋" w:hAnsi="仿宋" w:eastAsia="仿宋" w:cs="宋体"/>
                <w:kern w:val="0"/>
                <w:sz w:val="20"/>
                <w:szCs w:val="20"/>
              </w:rPr>
              <w:t>目标</w:t>
            </w:r>
          </w:p>
          <w:p>
            <w:pPr>
              <w:widowControl/>
              <w:spacing w:line="260" w:lineRule="exact"/>
              <w:jc w:val="center"/>
              <w:rPr>
                <w:rFonts w:ascii="仿宋" w:hAnsi="仿宋" w:eastAsia="仿宋" w:cs="宋体"/>
                <w:kern w:val="0"/>
                <w:sz w:val="20"/>
                <w:szCs w:val="20"/>
              </w:rPr>
            </w:pPr>
            <w:r>
              <w:rPr>
                <w:rFonts w:hint="eastAsia" w:ascii="仿宋" w:hAnsi="仿宋" w:eastAsia="仿宋" w:cs="宋体"/>
                <w:kern w:val="0"/>
                <w:sz w:val="20"/>
                <w:szCs w:val="20"/>
              </w:rPr>
              <w:t>设定</w:t>
            </w:r>
          </w:p>
          <w:p>
            <w:pPr>
              <w:widowControl/>
              <w:spacing w:line="260" w:lineRule="exact"/>
              <w:jc w:val="center"/>
              <w:rPr>
                <w:rFonts w:ascii="仿宋" w:hAnsi="仿宋" w:eastAsia="仿宋" w:cs="宋体"/>
                <w:kern w:val="0"/>
                <w:sz w:val="20"/>
                <w:szCs w:val="20"/>
              </w:rPr>
            </w:pPr>
            <w:r>
              <w:rPr>
                <w:rFonts w:hint="eastAsia" w:ascii="仿宋" w:hAnsi="仿宋" w:eastAsia="仿宋" w:cs="宋体"/>
                <w:kern w:val="0"/>
                <w:sz w:val="20"/>
                <w:szCs w:val="20"/>
              </w:rPr>
              <w:t>（5分）</w:t>
            </w:r>
          </w:p>
          <w:p>
            <w:pPr>
              <w:widowControl/>
              <w:jc w:val="center"/>
              <w:rPr>
                <w:rFonts w:ascii="仿宋" w:hAnsi="仿宋" w:eastAsia="仿宋" w:cs="宋体"/>
                <w:kern w:val="0"/>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绩效目标合理性（2分）</w:t>
            </w:r>
          </w:p>
          <w:p>
            <w:pPr>
              <w:widowControl/>
              <w:jc w:val="left"/>
              <w:rPr>
                <w:rFonts w:ascii="仿宋" w:hAnsi="仿宋" w:eastAsia="仿宋" w:cs="宋体"/>
                <w:kern w:val="0"/>
                <w:sz w:val="20"/>
                <w:szCs w:val="20"/>
              </w:rPr>
            </w:pPr>
          </w:p>
        </w:tc>
        <w:tc>
          <w:tcPr>
            <w:tcW w:w="2413" w:type="dxa"/>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部门所设立的整体绩效目标依据是否充分，是否符合客观实际，用以反映和考核部门整体绩效目标与部门履职、年度工作任务的相符性情况。</w:t>
            </w:r>
          </w:p>
        </w:tc>
        <w:tc>
          <w:tcPr>
            <w:tcW w:w="3257" w:type="dxa"/>
            <w:tcBorders>
              <w:top w:val="nil"/>
              <w:left w:val="single" w:color="auto" w:sz="4" w:space="0"/>
              <w:bottom w:val="single" w:color="auto" w:sz="4" w:space="0"/>
              <w:right w:val="single" w:color="auto" w:sz="4" w:space="0"/>
            </w:tcBorders>
            <w:vAlign w:val="center"/>
          </w:tcPr>
          <w:p>
            <w:pPr>
              <w:widowControl/>
              <w:spacing w:line="260" w:lineRule="exact"/>
              <w:jc w:val="left"/>
              <w:rPr>
                <w:rFonts w:ascii="仿宋" w:hAnsi="仿宋" w:eastAsia="仿宋" w:cs="宋体"/>
                <w:kern w:val="0"/>
                <w:sz w:val="20"/>
                <w:szCs w:val="20"/>
              </w:rPr>
            </w:pPr>
            <w:r>
              <w:rPr>
                <w:rFonts w:hint="eastAsia" w:ascii="仿宋" w:hAnsi="仿宋" w:eastAsia="仿宋" w:cs="宋体"/>
                <w:kern w:val="0"/>
                <w:sz w:val="20"/>
                <w:szCs w:val="20"/>
              </w:rPr>
              <w:t>①符合国家法律法规、国民经济和社会发展总体规划计1分；②符合部门“三定”方案确定的职责计0.5分；③是否符合部门制定的中长期实施规划计0.5分。</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2</w:t>
            </w:r>
          </w:p>
        </w:tc>
      </w:tr>
      <w:tr>
        <w:tblPrEx>
          <w:tblCellMar>
            <w:top w:w="0" w:type="dxa"/>
            <w:left w:w="108" w:type="dxa"/>
            <w:bottom w:w="0" w:type="dxa"/>
            <w:right w:w="108" w:type="dxa"/>
          </w:tblCellMar>
        </w:tblPrEx>
        <w:trPr>
          <w:trHeight w:val="1832"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top w:val="nil"/>
              <w:left w:val="nil"/>
              <w:bottom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绩效指标明确性（3分）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部门依据整体绩效目标所设定的绩效指标是否清晰、细化、可衡量，用以反映和考核部门整体绩效目标的明细化情况。</w:t>
            </w:r>
          </w:p>
        </w:tc>
        <w:tc>
          <w:tcPr>
            <w:tcW w:w="3257" w:type="dxa"/>
            <w:tcBorders>
              <w:top w:val="nil"/>
              <w:left w:val="nil"/>
              <w:bottom w:val="single" w:color="auto" w:sz="4" w:space="0"/>
              <w:right w:val="single" w:color="auto" w:sz="4" w:space="0"/>
            </w:tcBorders>
            <w:vAlign w:val="center"/>
          </w:tcPr>
          <w:p>
            <w:pPr>
              <w:widowControl/>
              <w:spacing w:line="260" w:lineRule="exact"/>
              <w:jc w:val="left"/>
              <w:rPr>
                <w:rFonts w:ascii="仿宋" w:hAnsi="仿宋" w:eastAsia="仿宋" w:cs="宋体"/>
                <w:kern w:val="0"/>
                <w:sz w:val="20"/>
                <w:szCs w:val="20"/>
              </w:rPr>
            </w:pPr>
            <w:r>
              <w:rPr>
                <w:rFonts w:hint="eastAsia" w:ascii="仿宋" w:hAnsi="仿宋" w:eastAsia="仿宋" w:cs="宋体"/>
                <w:kern w:val="0"/>
                <w:sz w:val="20"/>
                <w:szCs w:val="20"/>
              </w:rPr>
              <w:t>①将部门整体的绩效目标细化分解为具体的工作任务计1分；②通过清晰、可衡量的指标值予以体现计0.5分。③与部门年度的任务数或计划数相对应计0.5分；④与本年度部门预算资金相匹配计1分。</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3</w:t>
            </w:r>
          </w:p>
        </w:tc>
      </w:tr>
      <w:tr>
        <w:tblPrEx>
          <w:tblCellMar>
            <w:top w:w="0" w:type="dxa"/>
            <w:left w:w="108" w:type="dxa"/>
            <w:bottom w:w="0" w:type="dxa"/>
            <w:right w:w="108" w:type="dxa"/>
          </w:tblCellMar>
        </w:tblPrEx>
        <w:trPr>
          <w:trHeight w:val="2128"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restart"/>
            <w:tcBorders>
              <w:top w:val="nil"/>
              <w:left w:val="nil"/>
              <w:right w:val="single" w:color="auto" w:sz="4" w:space="0"/>
            </w:tcBorders>
            <w:vAlign w:val="center"/>
          </w:tcPr>
          <w:p>
            <w:pPr>
              <w:widowControl/>
              <w:spacing w:line="260" w:lineRule="exact"/>
              <w:jc w:val="center"/>
              <w:rPr>
                <w:rFonts w:ascii="仿宋" w:hAnsi="仿宋" w:eastAsia="仿宋"/>
                <w:sz w:val="20"/>
                <w:szCs w:val="20"/>
              </w:rPr>
            </w:pPr>
            <w:r>
              <w:rPr>
                <w:rFonts w:hint="eastAsia" w:ascii="仿宋" w:hAnsi="仿宋" w:eastAsia="仿宋" w:cs="宋体"/>
                <w:kern w:val="0"/>
                <w:sz w:val="20"/>
                <w:szCs w:val="20"/>
              </w:rPr>
              <w:t>预算</w:t>
            </w:r>
            <w:r>
              <w:rPr>
                <w:rFonts w:hint="eastAsia" w:ascii="仿宋" w:hAnsi="仿宋" w:eastAsia="仿宋" w:cs="宋体"/>
                <w:kern w:val="0"/>
                <w:sz w:val="20"/>
                <w:szCs w:val="20"/>
              </w:rPr>
              <w:br w:type="textWrapping"/>
            </w:r>
            <w:r>
              <w:rPr>
                <w:rFonts w:hint="eastAsia" w:ascii="仿宋" w:hAnsi="仿宋" w:eastAsia="仿宋" w:cs="宋体"/>
                <w:kern w:val="0"/>
                <w:sz w:val="20"/>
                <w:szCs w:val="20"/>
              </w:rPr>
              <w:t>配置</w:t>
            </w:r>
            <w:r>
              <w:rPr>
                <w:rFonts w:hint="eastAsia" w:ascii="仿宋" w:hAnsi="仿宋" w:eastAsia="仿宋" w:cs="宋体"/>
                <w:spacing w:val="-20"/>
                <w:kern w:val="0"/>
                <w:sz w:val="20"/>
                <w:szCs w:val="20"/>
              </w:rPr>
              <w:t>（15分）</w:t>
            </w: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在职人员控制率（5分）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部门本年度实际在职人员数与编制数的比率，用以反映和考核部门对人员成本的控制程度。</w:t>
            </w:r>
          </w:p>
        </w:tc>
        <w:tc>
          <w:tcPr>
            <w:tcW w:w="3257" w:type="dxa"/>
            <w:tcBorders>
              <w:top w:val="nil"/>
              <w:left w:val="nil"/>
              <w:bottom w:val="single" w:color="auto" w:sz="4" w:space="0"/>
              <w:right w:val="single" w:color="auto" w:sz="4" w:space="0"/>
            </w:tcBorders>
            <w:vAlign w:val="center"/>
          </w:tcPr>
          <w:p>
            <w:pPr>
              <w:widowControl/>
              <w:spacing w:line="260" w:lineRule="exact"/>
              <w:jc w:val="left"/>
              <w:rPr>
                <w:rFonts w:ascii="仿宋" w:hAnsi="仿宋" w:eastAsia="仿宋" w:cs="宋体"/>
                <w:kern w:val="0"/>
                <w:sz w:val="20"/>
                <w:szCs w:val="20"/>
              </w:rPr>
            </w:pPr>
            <w:r>
              <w:rPr>
                <w:rFonts w:hint="eastAsia" w:ascii="仿宋" w:hAnsi="仿宋" w:eastAsia="仿宋" w:cs="宋体"/>
                <w:kern w:val="0"/>
                <w:sz w:val="20"/>
                <w:szCs w:val="20"/>
              </w:rPr>
              <w:t>在职人员控制率=（在职人员数/编制数）×100%小于或等于1计5分，否则按比例计分。在职人员数：部门实际在职人数，以财政部确定的部门决算编制口径为准。编制数：机构编制部门核定批复的部门的人员编制数。</w:t>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1</w:t>
            </w:r>
          </w:p>
        </w:tc>
      </w:tr>
      <w:tr>
        <w:tblPrEx>
          <w:tblCellMar>
            <w:top w:w="0" w:type="dxa"/>
            <w:left w:w="108" w:type="dxa"/>
            <w:bottom w:w="0" w:type="dxa"/>
            <w:right w:w="108" w:type="dxa"/>
          </w:tblCellMar>
        </w:tblPrEx>
        <w:trPr>
          <w:trHeight w:val="2669"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left w:val="nil"/>
              <w:right w:val="single" w:color="auto" w:sz="4" w:space="0"/>
            </w:tcBorders>
            <w:vAlign w:val="center"/>
          </w:tcPr>
          <w:p>
            <w:pPr>
              <w:widowControl/>
              <w:spacing w:line="260" w:lineRule="exact"/>
              <w:jc w:val="center"/>
              <w:rPr>
                <w:rFonts w:ascii="仿宋" w:hAnsi="仿宋" w:eastAsia="仿宋" w:cs="宋体"/>
                <w:kern w:val="0"/>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重点支出安排率（5分）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部门本年度预算安排的重点项目支出与部门项目总支出的比率，用以反映和考核部门对履行主要职责或完成重点任务的保障程度。</w:t>
            </w:r>
          </w:p>
        </w:tc>
        <w:tc>
          <w:tcPr>
            <w:tcW w:w="3257" w:type="dxa"/>
            <w:tcBorders>
              <w:top w:val="nil"/>
              <w:left w:val="nil"/>
              <w:bottom w:val="single" w:color="auto" w:sz="4" w:space="0"/>
              <w:right w:val="single" w:color="auto" w:sz="4" w:space="0"/>
            </w:tcBorders>
            <w:vAlign w:val="center"/>
          </w:tcPr>
          <w:p>
            <w:pPr>
              <w:widowControl/>
              <w:spacing w:line="260" w:lineRule="exact"/>
              <w:jc w:val="left"/>
              <w:rPr>
                <w:rFonts w:ascii="仿宋" w:hAnsi="仿宋" w:eastAsia="仿宋" w:cs="宋体"/>
                <w:kern w:val="0"/>
                <w:sz w:val="20"/>
                <w:szCs w:val="20"/>
              </w:rPr>
            </w:pPr>
            <w:r>
              <w:rPr>
                <w:rFonts w:hint="eastAsia" w:ascii="仿宋" w:hAnsi="仿宋" w:eastAsia="仿宋" w:cs="宋体"/>
                <w:kern w:val="0"/>
                <w:sz w:val="20"/>
                <w:szCs w:val="20"/>
              </w:rPr>
              <w:t>重点支出安排率=（重点项目支出/项目总支出）×100%。实际得分=支出安排率*5分。重点项目支出：部门年度预算安排的，与本部门履职和发展密切相关、具有明显社会和经济影响、党委政府关心或社会比较关注的项目支出总额。项目总支出：部门年度预算安排的项目支出总额。</w:t>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5</w:t>
            </w:r>
          </w:p>
        </w:tc>
      </w:tr>
      <w:tr>
        <w:tblPrEx>
          <w:tblCellMar>
            <w:top w:w="0" w:type="dxa"/>
            <w:left w:w="108" w:type="dxa"/>
            <w:bottom w:w="0" w:type="dxa"/>
            <w:right w:w="108" w:type="dxa"/>
          </w:tblCellMar>
        </w:tblPrEx>
        <w:trPr>
          <w:trHeight w:val="2410" w:hRule="atLeast"/>
          <w:jc w:val="center"/>
        </w:trPr>
        <w:tc>
          <w:tcPr>
            <w:tcW w:w="682" w:type="dxa"/>
            <w:vMerge w:val="continue"/>
            <w:tcBorders>
              <w:left w:val="single" w:color="auto" w:sz="4" w:space="0"/>
              <w:bottom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left w:val="nil"/>
              <w:bottom w:val="single" w:color="auto" w:sz="4" w:space="0"/>
              <w:right w:val="single" w:color="auto" w:sz="4" w:space="0"/>
            </w:tcBorders>
            <w:vAlign w:val="center"/>
          </w:tcPr>
          <w:p>
            <w:pPr>
              <w:widowControl/>
              <w:spacing w:line="260" w:lineRule="exact"/>
              <w:jc w:val="center"/>
              <w:rPr>
                <w:rFonts w:ascii="仿宋" w:hAnsi="仿宋" w:eastAsia="仿宋" w:cs="宋体"/>
                <w:kern w:val="0"/>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“三公经费”</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变动率（5分）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部门本年度“三公经费”预算数与上年度“三公经费”预算数的变动比率，用以反映和考核部门对控制重点行政成本的努力程度。</w:t>
            </w:r>
          </w:p>
        </w:tc>
        <w:tc>
          <w:tcPr>
            <w:tcW w:w="3257" w:type="dxa"/>
            <w:tcBorders>
              <w:top w:val="nil"/>
              <w:left w:val="nil"/>
              <w:bottom w:val="single" w:color="auto" w:sz="4" w:space="0"/>
              <w:right w:val="single" w:color="auto" w:sz="4" w:space="0"/>
            </w:tcBorders>
            <w:vAlign w:val="center"/>
          </w:tcPr>
          <w:p>
            <w:pPr>
              <w:widowControl/>
              <w:spacing w:line="260" w:lineRule="exact"/>
              <w:jc w:val="left"/>
              <w:rPr>
                <w:rFonts w:ascii="仿宋" w:hAnsi="仿宋" w:eastAsia="仿宋" w:cs="宋体"/>
                <w:kern w:val="0"/>
                <w:sz w:val="20"/>
                <w:szCs w:val="20"/>
              </w:rPr>
            </w:pPr>
            <w:r>
              <w:rPr>
                <w:rFonts w:hint="eastAsia" w:ascii="仿宋" w:hAnsi="仿宋" w:eastAsia="仿宋" w:cs="宋体"/>
                <w:kern w:val="0"/>
                <w:sz w:val="20"/>
                <w:szCs w:val="20"/>
              </w:rPr>
              <w:t>“三公经费”变动率=[（本年度“三公经费”总额-上年度“三公经费”总额）/上年度“三公经费”总额]×100%。下降的计5分，增加的按比例扣减。“三公经费”：年度预算安排的因公出国（境）费、公务车辆购置及运行费和公务招待费。</w:t>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5</w:t>
            </w:r>
          </w:p>
        </w:tc>
      </w:tr>
      <w:tr>
        <w:tblPrEx>
          <w:tblCellMar>
            <w:top w:w="0" w:type="dxa"/>
            <w:left w:w="108" w:type="dxa"/>
            <w:bottom w:w="0" w:type="dxa"/>
            <w:right w:w="108" w:type="dxa"/>
          </w:tblCellMar>
        </w:tblPrEx>
        <w:trPr>
          <w:trHeight w:val="1413" w:hRule="atLeast"/>
          <w:jc w:val="center"/>
        </w:trPr>
        <w:tc>
          <w:tcPr>
            <w:tcW w:w="682" w:type="dxa"/>
            <w:vMerge w:val="restart"/>
            <w:tcBorders>
              <w:top w:val="nil"/>
              <w:left w:val="single" w:color="auto" w:sz="4" w:space="0"/>
              <w:right w:val="single" w:color="auto" w:sz="4" w:space="0"/>
            </w:tcBorders>
            <w:textDirection w:val="tbRlV"/>
            <w:vAlign w:val="center"/>
          </w:tcPr>
          <w:p>
            <w:pPr>
              <w:widowControl/>
              <w:ind w:left="113" w:right="113"/>
              <w:jc w:val="center"/>
              <w:rPr>
                <w:rFonts w:ascii="仿宋" w:hAnsi="仿宋" w:eastAsia="仿宋" w:cs="宋体"/>
                <w:kern w:val="0"/>
                <w:sz w:val="20"/>
                <w:szCs w:val="20"/>
              </w:rPr>
            </w:pPr>
            <w:r>
              <w:rPr>
                <w:rFonts w:hint="eastAsia" w:ascii="仿宋" w:hAnsi="仿宋" w:eastAsia="仿宋" w:cs="宋体"/>
                <w:kern w:val="0"/>
                <w:sz w:val="20"/>
                <w:szCs w:val="20"/>
              </w:rPr>
              <w:t>过程（30分）</w:t>
            </w:r>
          </w:p>
        </w:tc>
        <w:tc>
          <w:tcPr>
            <w:tcW w:w="850" w:type="dxa"/>
            <w:vMerge w:val="restart"/>
            <w:tcBorders>
              <w:top w:val="nil"/>
              <w:left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预算</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执行</w:t>
            </w:r>
            <w:r>
              <w:rPr>
                <w:rFonts w:hint="eastAsia" w:ascii="仿宋" w:hAnsi="仿宋" w:eastAsia="仿宋" w:cs="宋体"/>
                <w:spacing w:val="-20"/>
                <w:kern w:val="0"/>
                <w:sz w:val="20"/>
                <w:szCs w:val="20"/>
              </w:rPr>
              <w:t>（20分）</w:t>
            </w: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预算完成率</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（4分）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部门本年度预算完成数与预算数的比率，用以反映和考核部门预算完成程度。</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预算完成率=（预算完成数/预算数）×100%。完成年初预算计4分，未完成年初预算按比例扣减，预算完成数：部门本年度实际完成的预算数。预算数：财政部门批复的本年度部门预算数。</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4</w:t>
            </w:r>
          </w:p>
        </w:tc>
      </w:tr>
      <w:tr>
        <w:tblPrEx>
          <w:tblCellMar>
            <w:top w:w="0" w:type="dxa"/>
            <w:left w:w="108" w:type="dxa"/>
            <w:bottom w:w="0" w:type="dxa"/>
            <w:right w:w="108" w:type="dxa"/>
          </w:tblCellMar>
        </w:tblPrEx>
        <w:trPr>
          <w:trHeight w:val="1771"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预算调整率</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部门本年度预算调整数与预算数的比率，用以反映和考核部门预算的调整程度。</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预算调整率=（预算调整数/预算数）×100%。未调整的计2分，调整了的除特殊原因外按比例扣减。预算调整数：部门在本年度内涉及预算的追加、追减或结构调整的资金总和（因落实国家政策、发生不可抗力、上级部门或同级党委政府临时交办而产生的调整除外）。</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2</w:t>
            </w:r>
          </w:p>
        </w:tc>
      </w:tr>
      <w:tr>
        <w:tblPrEx>
          <w:tblCellMar>
            <w:top w:w="0" w:type="dxa"/>
            <w:left w:w="108" w:type="dxa"/>
            <w:bottom w:w="0" w:type="dxa"/>
            <w:right w:w="108" w:type="dxa"/>
          </w:tblCellMar>
        </w:tblPrEx>
        <w:trPr>
          <w:trHeight w:val="1441"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支付进度率</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部门实际支付进度与既定支付进度的比率，用以反映和考核部门预算执行的及时性和均衡性程度。</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支付进度率=（实际支付进度/既定支付进度）×100%。完成年终进度的计1分，按季度完成预算进度的计1分。实际支付进度：部门在某一时点的支出预算执行总数与年度支出预算数的比率。既定支付进度：由部门在申报部门整体绩效目标时，参照序时支付进度、前三年支付进度、同级部门平均支付进度水平等确定的，在某一时点应达到的支付进度（比率）。</w:t>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2　</w:t>
            </w:r>
          </w:p>
        </w:tc>
      </w:tr>
      <w:tr>
        <w:tblPrEx>
          <w:tblCellMar>
            <w:top w:w="0" w:type="dxa"/>
            <w:left w:w="108" w:type="dxa"/>
            <w:bottom w:w="0" w:type="dxa"/>
            <w:right w:w="108" w:type="dxa"/>
          </w:tblCellMar>
        </w:tblPrEx>
        <w:trPr>
          <w:trHeight w:val="1609"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结转结余控制率（4分）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部门本年度结转结余总额与上年结转结余总额增减比例，用以反映和考核部门对存量资金的实际控制程度。</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结转结余控制率=（本年结转结余总额-上年结转结余总额）/上年结转结余总额×100%。低于15%的计4分，每超过5个百分点扣1分，扣完为止。结转结余总额：部门本年度的结转资金与结余资金之和。</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4</w:t>
            </w:r>
          </w:p>
        </w:tc>
      </w:tr>
      <w:tr>
        <w:tblPrEx>
          <w:tblCellMar>
            <w:top w:w="0" w:type="dxa"/>
            <w:left w:w="108" w:type="dxa"/>
            <w:bottom w:w="0" w:type="dxa"/>
            <w:right w:w="108" w:type="dxa"/>
          </w:tblCellMar>
        </w:tblPrEx>
        <w:trPr>
          <w:trHeight w:val="1562"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left w:val="single" w:color="auto" w:sz="4" w:space="0"/>
              <w:right w:val="single" w:color="auto" w:sz="4" w:space="0"/>
            </w:tcBorders>
            <w:vAlign w:val="center"/>
          </w:tcPr>
          <w:p>
            <w:pPr>
              <w:widowControl/>
              <w:jc w:val="center"/>
              <w:rPr>
                <w:rFonts w:ascii="仿宋" w:hAnsi="仿宋" w:eastAsia="仿宋" w:cs="宋体"/>
                <w:kern w:val="0"/>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公用经费控制率（2分）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部门本年度实际支出的公用经费总额与预算安排的公用经费总额的比率，用以反映和考核部门对机构运转成本的实际控制程度。</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公用经费控制率=（实际支出公用经费总额/预算安排公用经费总额）×100%。为100%的计2分，每超过1个百分点扣0.1分，扣完为止。</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2</w:t>
            </w:r>
          </w:p>
        </w:tc>
      </w:tr>
      <w:tr>
        <w:tblPrEx>
          <w:tblCellMar>
            <w:top w:w="0" w:type="dxa"/>
            <w:left w:w="108" w:type="dxa"/>
            <w:bottom w:w="0" w:type="dxa"/>
            <w:right w:w="108" w:type="dxa"/>
          </w:tblCellMar>
        </w:tblPrEx>
        <w:trPr>
          <w:trHeight w:val="1351" w:hRule="atLeast"/>
          <w:jc w:val="center"/>
        </w:trPr>
        <w:tc>
          <w:tcPr>
            <w:tcW w:w="682"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“三公经费”控制率（2分）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部门本年度“三公经费”实际支出数与预算安排数的比率，用以反映和考核部门对“三公经费”的实际控制程度。</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“三公经费”控制率=（“三公经费”实际支出数/“三公经费”预算安排数）×100%。为100%的计2分，每超过1个百分点扣0.5分，扣完为止。</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2</w:t>
            </w:r>
          </w:p>
        </w:tc>
      </w:tr>
      <w:tr>
        <w:tblPrEx>
          <w:tblCellMar>
            <w:top w:w="0" w:type="dxa"/>
            <w:left w:w="108" w:type="dxa"/>
            <w:bottom w:w="0" w:type="dxa"/>
            <w:right w:w="108" w:type="dxa"/>
          </w:tblCellMar>
        </w:tblPrEx>
        <w:trPr>
          <w:trHeight w:val="1928" w:hRule="atLeast"/>
          <w:jc w:val="center"/>
        </w:trPr>
        <w:tc>
          <w:tcPr>
            <w:tcW w:w="682" w:type="dxa"/>
            <w:vMerge w:val="restart"/>
            <w:tcBorders>
              <w:top w:val="single" w:color="auto" w:sz="4" w:space="0"/>
              <w:left w:val="single" w:color="auto" w:sz="4" w:space="0"/>
              <w:right w:val="single" w:color="auto" w:sz="4" w:space="0"/>
            </w:tcBorders>
            <w:textDirection w:val="tbRlV"/>
            <w:vAlign w:val="center"/>
          </w:tcPr>
          <w:p>
            <w:pPr>
              <w:ind w:left="113" w:right="113"/>
              <w:jc w:val="center"/>
              <w:rPr>
                <w:rFonts w:ascii="仿宋" w:hAnsi="仿宋" w:eastAsia="仿宋"/>
                <w:sz w:val="20"/>
                <w:szCs w:val="20"/>
              </w:rPr>
            </w:pPr>
            <w:r>
              <w:rPr>
                <w:rFonts w:hint="eastAsia" w:ascii="仿宋" w:hAnsi="仿宋" w:eastAsia="仿宋" w:cs="宋体"/>
                <w:kern w:val="0"/>
                <w:sz w:val="20"/>
                <w:szCs w:val="20"/>
              </w:rPr>
              <w:t>过程（30分）</w:t>
            </w:r>
          </w:p>
        </w:tc>
        <w:tc>
          <w:tcPr>
            <w:tcW w:w="850" w:type="dxa"/>
            <w:tcBorders>
              <w:top w:val="single" w:color="auto" w:sz="4" w:space="0"/>
              <w:left w:val="single" w:color="auto" w:sz="4" w:space="0"/>
              <w:bottom w:val="single" w:color="000000"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预算</w:t>
            </w:r>
          </w:p>
          <w:p>
            <w:pPr>
              <w:jc w:val="center"/>
              <w:rPr>
                <w:rFonts w:ascii="仿宋" w:hAnsi="仿宋" w:eastAsia="仿宋"/>
                <w:sz w:val="20"/>
                <w:szCs w:val="20"/>
              </w:rPr>
            </w:pPr>
            <w:r>
              <w:rPr>
                <w:rFonts w:hint="eastAsia" w:ascii="仿宋" w:hAnsi="仿宋" w:eastAsia="仿宋" w:cs="宋体"/>
                <w:kern w:val="0"/>
                <w:sz w:val="20"/>
                <w:szCs w:val="20"/>
              </w:rPr>
              <w:t>执行</w:t>
            </w:r>
            <w:r>
              <w:rPr>
                <w:rFonts w:hint="eastAsia" w:ascii="仿宋" w:hAnsi="仿宋" w:eastAsia="仿宋" w:cs="宋体"/>
                <w:spacing w:val="-20"/>
                <w:kern w:val="0"/>
                <w:sz w:val="20"/>
                <w:szCs w:val="20"/>
              </w:rPr>
              <w:t>（20分）</w:t>
            </w: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政府采购执行率（4分）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部门本年度实际政府采购金额与年初政府采购预算的比率，用以反映和考核部门政府采购预算执行情况。</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政府采购执行率=（实际政府采购金额/政府采购预算数）×100%，为100%的计4分，每低于1个百分点扣0.5分，扣完为止；政府采购预算：采购机关根据事业发展计划和行政任务编制的、并经过规定程序批准的年度政府采购计划。</w:t>
            </w:r>
          </w:p>
        </w:tc>
        <w:tc>
          <w:tcPr>
            <w:tcW w:w="625"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4</w:t>
            </w:r>
          </w:p>
        </w:tc>
      </w:tr>
      <w:tr>
        <w:tblPrEx>
          <w:tblCellMar>
            <w:top w:w="0" w:type="dxa"/>
            <w:left w:w="108" w:type="dxa"/>
            <w:bottom w:w="0" w:type="dxa"/>
            <w:right w:w="108" w:type="dxa"/>
          </w:tblCellMar>
        </w:tblPrEx>
        <w:trPr>
          <w:jc w:val="center"/>
        </w:trPr>
        <w:tc>
          <w:tcPr>
            <w:tcW w:w="682" w:type="dxa"/>
            <w:vMerge w:val="continue"/>
            <w:tcBorders>
              <w:left w:val="single" w:color="auto" w:sz="4" w:space="0"/>
              <w:right w:val="single" w:color="auto" w:sz="4" w:space="0"/>
            </w:tcBorders>
            <w:textDirection w:val="tbRlV"/>
            <w:vAlign w:val="center"/>
          </w:tcPr>
          <w:p>
            <w:pPr>
              <w:ind w:left="113" w:right="113"/>
              <w:jc w:val="center"/>
              <w:rPr>
                <w:rFonts w:ascii="仿宋" w:hAnsi="仿宋" w:eastAsia="仿宋" w:cs="宋体"/>
                <w:kern w:val="0"/>
                <w:sz w:val="20"/>
                <w:szCs w:val="20"/>
              </w:rPr>
            </w:pPr>
          </w:p>
        </w:tc>
        <w:tc>
          <w:tcPr>
            <w:tcW w:w="850" w:type="dxa"/>
            <w:vMerge w:val="restart"/>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预算</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管理</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（5分）</w:t>
            </w: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管理制度健全性（2分）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部门为加强预算管理、规范财务行为而制定的管理制度是否健全完整，用以反映和考核部门预算管理制度对完成主要职责或促进事业发展的保障情况。</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已制定或具有预算资金管理办法、内部财务管理制度、会计核算制度等管理制度计1分；相关管理制度合法、合规、完整计0.5分；相关管理制度得到有效执行计0.5分。</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2</w:t>
            </w:r>
          </w:p>
        </w:tc>
      </w:tr>
      <w:tr>
        <w:tblPrEx>
          <w:tblCellMar>
            <w:top w:w="0" w:type="dxa"/>
            <w:left w:w="108" w:type="dxa"/>
            <w:bottom w:w="0" w:type="dxa"/>
            <w:right w:w="108" w:type="dxa"/>
          </w:tblCellMar>
        </w:tblPrEx>
        <w:trPr>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top w:val="nil"/>
              <w:left w:val="nil"/>
              <w:bottom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资金使用合规性（2分）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部门使用预算资金是否符合相关的预算财务管理制度的规定，用以反映和考核部门预算资金的规范运行情况。</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①符合国家财经法规和财务管理制度规定以及有关专项资金管理办法的规定计0.4分；②资金的拨付有完整的审批程序和手续计0.4分；③项目的重大开支经过评估论证计0.4分；④符合部门预算批复的用途计0.4分；⑤不存在截留、挤占、挪用、虚列支出等情况计0.4分。</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2</w:t>
            </w:r>
          </w:p>
        </w:tc>
      </w:tr>
      <w:tr>
        <w:tblPrEx>
          <w:tblCellMar>
            <w:top w:w="0" w:type="dxa"/>
            <w:left w:w="108" w:type="dxa"/>
            <w:bottom w:w="0" w:type="dxa"/>
            <w:right w:w="108" w:type="dxa"/>
          </w:tblCellMar>
        </w:tblPrEx>
        <w:trPr>
          <w:trHeight w:val="1529"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top w:val="nil"/>
              <w:left w:val="nil"/>
              <w:bottom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预决算信息公开性</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（1分）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部门是否按照政府信息公开有关规定公开相关预决算信息，用以反映和考核部门预决算管理的公开透明情况。</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①按规定内容公开预决算信息计0.5分；②按规定时限公开预决算信息计0.5分。预决算信息是指与部门预算、执行、决算、监督、绩效等管理相关的信息。</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1</w:t>
            </w:r>
          </w:p>
        </w:tc>
      </w:tr>
      <w:tr>
        <w:tblPrEx>
          <w:tblCellMar>
            <w:top w:w="0" w:type="dxa"/>
            <w:left w:w="108" w:type="dxa"/>
            <w:bottom w:w="0" w:type="dxa"/>
            <w:right w:w="108" w:type="dxa"/>
          </w:tblCellMar>
        </w:tblPrEx>
        <w:trPr>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restart"/>
            <w:tcBorders>
              <w:top w:val="nil"/>
              <w:left w:val="nil"/>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资产</w:t>
            </w:r>
            <w:r>
              <w:rPr>
                <w:rFonts w:hint="eastAsia" w:ascii="仿宋" w:hAnsi="仿宋" w:eastAsia="仿宋" w:cs="宋体"/>
                <w:kern w:val="0"/>
                <w:sz w:val="20"/>
                <w:szCs w:val="20"/>
              </w:rPr>
              <w:br w:type="textWrapping"/>
            </w:r>
            <w:r>
              <w:rPr>
                <w:rFonts w:hint="eastAsia" w:ascii="仿宋" w:hAnsi="仿宋" w:eastAsia="仿宋" w:cs="宋体"/>
                <w:kern w:val="0"/>
                <w:sz w:val="20"/>
                <w:szCs w:val="20"/>
              </w:rPr>
              <w:t>管理</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（5分）</w:t>
            </w: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管理制度健全性（2分）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部门为加强资产管理、规范资产管理行为而制定的管理制度是否健全完整，用以反映和考核部门资产管理制度对完成主要职责或促进社会发展的保障情况。</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①制定或具有资产管理制度计1分；②相关资金管理制度合法、合规、完整计0.5分；③相关资产管理制度得到有效执行计0.5分。</w:t>
            </w:r>
          </w:p>
        </w:tc>
        <w:tc>
          <w:tcPr>
            <w:tcW w:w="625"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2</w:t>
            </w:r>
          </w:p>
        </w:tc>
      </w:tr>
      <w:tr>
        <w:tblPrEx>
          <w:tblCellMar>
            <w:top w:w="0" w:type="dxa"/>
            <w:left w:w="108" w:type="dxa"/>
            <w:bottom w:w="0" w:type="dxa"/>
            <w:right w:w="108" w:type="dxa"/>
          </w:tblCellMar>
        </w:tblPrEx>
        <w:trPr>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left w:val="nil"/>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资产管理安全性（2分）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部门的资产是否保存完整、使用合规、配置合理、处置规范、收入及时足额上缴，用以反映和考核部门资产安全运行情况。</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①资产保存完整计0.4分；②资产配置合理计0.4分；③资产处置规范计0.4分；④资产账务管理合规、帐实相符计0.4分；⑤资产有偿使用及处置收入及时足额上缴计0.4分。</w:t>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2</w:t>
            </w:r>
          </w:p>
        </w:tc>
      </w:tr>
      <w:tr>
        <w:tblPrEx>
          <w:tblCellMar>
            <w:top w:w="0" w:type="dxa"/>
            <w:left w:w="108" w:type="dxa"/>
            <w:bottom w:w="0" w:type="dxa"/>
            <w:right w:w="108" w:type="dxa"/>
          </w:tblCellMar>
        </w:tblPrEx>
        <w:trPr>
          <w:trHeight w:val="1355" w:hRule="atLeast"/>
          <w:jc w:val="center"/>
        </w:trPr>
        <w:tc>
          <w:tcPr>
            <w:tcW w:w="682" w:type="dxa"/>
            <w:vMerge w:val="continue"/>
            <w:tcBorders>
              <w:left w:val="single" w:color="auto" w:sz="4" w:space="0"/>
              <w:bottom w:val="single" w:color="000000" w:sz="4" w:space="0"/>
              <w:right w:val="single" w:color="auto" w:sz="4" w:space="0"/>
            </w:tcBorders>
            <w:vAlign w:val="center"/>
          </w:tcPr>
          <w:p>
            <w:pPr>
              <w:rPr>
                <w:rFonts w:ascii="仿宋" w:hAnsi="仿宋" w:eastAsia="仿宋"/>
                <w:sz w:val="20"/>
                <w:szCs w:val="20"/>
              </w:rPr>
            </w:pPr>
          </w:p>
        </w:tc>
        <w:tc>
          <w:tcPr>
            <w:tcW w:w="850" w:type="dxa"/>
            <w:vMerge w:val="continue"/>
            <w:tcBorders>
              <w:left w:val="nil"/>
              <w:bottom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固定资产利用率（1分）</w:t>
            </w:r>
          </w:p>
        </w:tc>
        <w:tc>
          <w:tcPr>
            <w:tcW w:w="2413"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部门实际在用固定资产总额与所有固定资产总额的比率，用以反映和考核部门固定资产使用效率程度。</w:t>
            </w:r>
          </w:p>
        </w:tc>
        <w:tc>
          <w:tcPr>
            <w:tcW w:w="3257" w:type="dxa"/>
            <w:tcBorders>
              <w:top w:val="nil"/>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固定资产利用率=（实际在用固定资产总额/所有固定资产总额）×100%。利用率为100%的计1分，每降1个百分点扣0.1分，扣完为止。</w:t>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1</w:t>
            </w:r>
          </w:p>
        </w:tc>
      </w:tr>
      <w:tr>
        <w:tblPrEx>
          <w:tblCellMar>
            <w:top w:w="0" w:type="dxa"/>
            <w:left w:w="108" w:type="dxa"/>
            <w:bottom w:w="0" w:type="dxa"/>
            <w:right w:w="108" w:type="dxa"/>
          </w:tblCellMar>
        </w:tblPrEx>
        <w:trPr>
          <w:trHeight w:val="1403" w:hRule="atLeast"/>
          <w:jc w:val="center"/>
        </w:trPr>
        <w:tc>
          <w:tcPr>
            <w:tcW w:w="682" w:type="dxa"/>
            <w:vMerge w:val="restart"/>
            <w:tcBorders>
              <w:top w:val="nil"/>
              <w:left w:val="single" w:color="auto" w:sz="4" w:space="0"/>
              <w:right w:val="single" w:color="auto" w:sz="4" w:space="0"/>
            </w:tcBorders>
            <w:textDirection w:val="tbRlV"/>
            <w:vAlign w:val="center"/>
          </w:tcPr>
          <w:p>
            <w:pPr>
              <w:ind w:left="113" w:right="113"/>
              <w:jc w:val="center"/>
              <w:rPr>
                <w:rFonts w:ascii="仿宋" w:hAnsi="仿宋" w:eastAsia="仿宋" w:cs="宋体"/>
                <w:kern w:val="0"/>
                <w:sz w:val="20"/>
                <w:szCs w:val="20"/>
              </w:rPr>
            </w:pPr>
            <w:r>
              <w:rPr>
                <w:rFonts w:hint="eastAsia" w:ascii="仿宋" w:hAnsi="仿宋" w:eastAsia="仿宋" w:cs="宋体"/>
                <w:kern w:val="0"/>
                <w:sz w:val="20"/>
                <w:szCs w:val="20"/>
              </w:rPr>
              <w:t>产出（50分）</w:t>
            </w:r>
          </w:p>
        </w:tc>
        <w:tc>
          <w:tcPr>
            <w:tcW w:w="850" w:type="dxa"/>
            <w:vMerge w:val="restart"/>
            <w:tcBorders>
              <w:top w:val="single" w:color="auto" w:sz="4" w:space="0"/>
              <w:left w:val="nil"/>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职责</w:t>
            </w:r>
          </w:p>
          <w:p>
            <w:pPr>
              <w:jc w:val="center"/>
              <w:rPr>
                <w:rFonts w:ascii="仿宋" w:hAnsi="仿宋" w:eastAsia="仿宋" w:cs="宋体"/>
                <w:kern w:val="0"/>
                <w:sz w:val="20"/>
                <w:szCs w:val="20"/>
              </w:rPr>
            </w:pPr>
            <w:r>
              <w:rPr>
                <w:rFonts w:hint="eastAsia" w:ascii="仿宋" w:hAnsi="仿宋" w:eastAsia="仿宋" w:cs="宋体"/>
                <w:kern w:val="0"/>
                <w:sz w:val="20"/>
                <w:szCs w:val="20"/>
              </w:rPr>
              <w:t>履行</w:t>
            </w:r>
            <w:r>
              <w:rPr>
                <w:rFonts w:hint="eastAsia" w:ascii="仿宋" w:hAnsi="仿宋" w:eastAsia="仿宋" w:cs="宋体"/>
                <w:spacing w:val="-20"/>
                <w:kern w:val="0"/>
                <w:sz w:val="20"/>
                <w:szCs w:val="20"/>
              </w:rPr>
              <w:t>（30分）</w:t>
            </w:r>
          </w:p>
        </w:tc>
        <w:tc>
          <w:tcPr>
            <w:tcW w:w="993"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实际完成率</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（8分）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部门履行职责而实际完成工作数与计划工作数的比率，用以反映和考核部门履职工作任务目标的实现程度。</w:t>
            </w:r>
          </w:p>
        </w:tc>
        <w:tc>
          <w:tcPr>
            <w:tcW w:w="3257"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实际完成率得分=完成管委会绩效考核得分或上级主管部门考核指标得分/指标分值*8分。</w:t>
            </w:r>
          </w:p>
        </w:tc>
        <w:tc>
          <w:tcPr>
            <w:tcW w:w="625"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7.5</w:t>
            </w:r>
          </w:p>
        </w:tc>
      </w:tr>
      <w:tr>
        <w:tblPrEx>
          <w:tblCellMar>
            <w:top w:w="0" w:type="dxa"/>
            <w:left w:w="108" w:type="dxa"/>
            <w:bottom w:w="0" w:type="dxa"/>
            <w:right w:w="108" w:type="dxa"/>
          </w:tblCellMar>
        </w:tblPrEx>
        <w:trPr>
          <w:trHeight w:val="1409" w:hRule="atLeast"/>
          <w:jc w:val="center"/>
        </w:trPr>
        <w:tc>
          <w:tcPr>
            <w:tcW w:w="682" w:type="dxa"/>
            <w:vMerge w:val="continue"/>
            <w:tcBorders>
              <w:left w:val="single" w:color="auto" w:sz="4" w:space="0"/>
              <w:right w:val="single" w:color="auto" w:sz="4" w:space="0"/>
            </w:tcBorders>
            <w:textDirection w:val="tbRlV"/>
            <w:vAlign w:val="center"/>
          </w:tcPr>
          <w:p>
            <w:pPr>
              <w:ind w:left="113" w:right="113"/>
              <w:jc w:val="center"/>
              <w:rPr>
                <w:rFonts w:ascii="仿宋" w:hAnsi="仿宋" w:eastAsia="仿宋" w:cs="宋体"/>
                <w:kern w:val="0"/>
                <w:sz w:val="20"/>
                <w:szCs w:val="20"/>
              </w:rPr>
            </w:pPr>
          </w:p>
        </w:tc>
        <w:tc>
          <w:tcPr>
            <w:tcW w:w="850" w:type="dxa"/>
            <w:vMerge w:val="continue"/>
            <w:tcBorders>
              <w:left w:val="nil"/>
              <w:right w:val="single" w:color="auto" w:sz="4" w:space="0"/>
            </w:tcBorders>
            <w:vAlign w:val="center"/>
          </w:tcPr>
          <w:p>
            <w:pPr>
              <w:jc w:val="center"/>
              <w:rPr>
                <w:rFonts w:ascii="仿宋" w:hAnsi="仿宋" w:eastAsia="仿宋" w:cs="宋体"/>
                <w:kern w:val="0"/>
                <w:sz w:val="20"/>
                <w:szCs w:val="20"/>
              </w:rPr>
            </w:pPr>
          </w:p>
        </w:tc>
        <w:tc>
          <w:tcPr>
            <w:tcW w:w="993"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完成及时率</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（4分）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部门在规定时限内及时完成的实际工作数与计划工作数的比率,用以反映和考核部门履职时效目标的实现程度。</w:t>
            </w:r>
          </w:p>
        </w:tc>
        <w:tc>
          <w:tcPr>
            <w:tcW w:w="3257"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完成及时率=（及时完成实际工作数/计划工作数）×100%。1-4季度各得1分。</w:t>
            </w:r>
            <w:r>
              <w:rPr>
                <w:rFonts w:hint="eastAsia" w:ascii="仿宋" w:hAnsi="仿宋" w:eastAsia="仿宋" w:cs="宋体"/>
                <w:kern w:val="0"/>
                <w:sz w:val="20"/>
                <w:szCs w:val="20"/>
              </w:rPr>
              <w:br w:type="textWrapping"/>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4</w:t>
            </w:r>
          </w:p>
        </w:tc>
      </w:tr>
      <w:tr>
        <w:tblPrEx>
          <w:tblCellMar>
            <w:top w:w="0" w:type="dxa"/>
            <w:left w:w="108" w:type="dxa"/>
            <w:bottom w:w="0" w:type="dxa"/>
            <w:right w:w="108" w:type="dxa"/>
          </w:tblCellMar>
        </w:tblPrEx>
        <w:trPr>
          <w:trHeight w:val="1630" w:hRule="atLeast"/>
          <w:jc w:val="center"/>
        </w:trPr>
        <w:tc>
          <w:tcPr>
            <w:tcW w:w="682" w:type="dxa"/>
            <w:vMerge w:val="continue"/>
            <w:tcBorders>
              <w:left w:val="single" w:color="auto" w:sz="4" w:space="0"/>
              <w:right w:val="single" w:color="auto" w:sz="4" w:space="0"/>
            </w:tcBorders>
            <w:textDirection w:val="tbRlV"/>
            <w:vAlign w:val="center"/>
          </w:tcPr>
          <w:p>
            <w:pPr>
              <w:ind w:left="113" w:right="113"/>
              <w:jc w:val="center"/>
              <w:rPr>
                <w:rFonts w:ascii="仿宋" w:hAnsi="仿宋" w:eastAsia="仿宋" w:cs="宋体"/>
                <w:kern w:val="0"/>
                <w:sz w:val="20"/>
                <w:szCs w:val="20"/>
              </w:rPr>
            </w:pPr>
          </w:p>
        </w:tc>
        <w:tc>
          <w:tcPr>
            <w:tcW w:w="850" w:type="dxa"/>
            <w:vMerge w:val="continue"/>
            <w:tcBorders>
              <w:left w:val="nil"/>
              <w:right w:val="single" w:color="auto" w:sz="4" w:space="0"/>
            </w:tcBorders>
            <w:vAlign w:val="center"/>
          </w:tcPr>
          <w:p>
            <w:pPr>
              <w:jc w:val="center"/>
              <w:rPr>
                <w:rFonts w:ascii="仿宋" w:hAnsi="仿宋" w:eastAsia="仿宋" w:cs="宋体"/>
                <w:kern w:val="0"/>
                <w:sz w:val="20"/>
                <w:szCs w:val="20"/>
              </w:rPr>
            </w:pPr>
          </w:p>
        </w:tc>
        <w:tc>
          <w:tcPr>
            <w:tcW w:w="993"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质量达标率</w:t>
            </w:r>
          </w:p>
          <w:p>
            <w:pPr>
              <w:widowControl/>
              <w:jc w:val="left"/>
              <w:rPr>
                <w:rFonts w:ascii="仿宋" w:hAnsi="仿宋" w:eastAsia="仿宋" w:cs="宋体"/>
                <w:kern w:val="0"/>
                <w:sz w:val="20"/>
                <w:szCs w:val="20"/>
              </w:rPr>
            </w:pPr>
            <w:r>
              <w:rPr>
                <w:rFonts w:hint="eastAsia" w:ascii="仿宋" w:hAnsi="仿宋" w:eastAsia="仿宋" w:cs="宋体"/>
                <w:kern w:val="0"/>
                <w:sz w:val="20"/>
                <w:szCs w:val="20"/>
              </w:rPr>
              <w:t>（8分）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达到质量标准（绩效标准值）的实际工作数与计划工作数的比率,用以反映和考核部门履职质量目标的实现程度。</w:t>
            </w:r>
          </w:p>
        </w:tc>
        <w:tc>
          <w:tcPr>
            <w:tcW w:w="3257"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质量达标率=（质量达标实际工作数/计划工作数）×100%。实际得分=达标率*8分。</w:t>
            </w:r>
          </w:p>
        </w:tc>
        <w:tc>
          <w:tcPr>
            <w:tcW w:w="625" w:type="dxa"/>
            <w:tcBorders>
              <w:top w:val="nil"/>
              <w:left w:val="nil"/>
              <w:bottom w:val="single" w:color="auto" w:sz="4" w:space="0"/>
              <w:right w:val="single" w:color="auto" w:sz="4" w:space="0"/>
            </w:tcBorders>
            <w:vAlign w:val="center"/>
          </w:tcPr>
          <w:p>
            <w:pPr>
              <w:widowControl/>
              <w:ind w:firstLine="240" w:firstLineChars="100"/>
              <w:jc w:val="left"/>
              <w:rPr>
                <w:rFonts w:ascii="仿宋" w:hAnsi="仿宋" w:eastAsia="仿宋" w:cs="宋体"/>
                <w:kern w:val="0"/>
                <w:sz w:val="24"/>
              </w:rPr>
            </w:pPr>
            <w:r>
              <w:rPr>
                <w:rFonts w:hint="eastAsia" w:ascii="仿宋" w:hAnsi="仿宋" w:eastAsia="仿宋" w:cs="宋体"/>
                <w:kern w:val="0"/>
                <w:sz w:val="24"/>
              </w:rPr>
              <w:t>8</w:t>
            </w:r>
          </w:p>
        </w:tc>
      </w:tr>
      <w:tr>
        <w:tblPrEx>
          <w:tblCellMar>
            <w:top w:w="0" w:type="dxa"/>
            <w:left w:w="108" w:type="dxa"/>
            <w:bottom w:w="0" w:type="dxa"/>
            <w:right w:w="108" w:type="dxa"/>
          </w:tblCellMar>
        </w:tblPrEx>
        <w:trPr>
          <w:trHeight w:val="1539" w:hRule="atLeast"/>
          <w:jc w:val="center"/>
        </w:trPr>
        <w:tc>
          <w:tcPr>
            <w:tcW w:w="682" w:type="dxa"/>
            <w:vMerge w:val="continue"/>
            <w:tcBorders>
              <w:left w:val="single" w:color="auto" w:sz="4" w:space="0"/>
              <w:right w:val="single" w:color="auto" w:sz="4" w:space="0"/>
            </w:tcBorders>
            <w:textDirection w:val="tbRlV"/>
            <w:vAlign w:val="center"/>
          </w:tcPr>
          <w:p>
            <w:pPr>
              <w:ind w:left="113" w:right="113"/>
              <w:jc w:val="center"/>
              <w:rPr>
                <w:rFonts w:ascii="仿宋" w:hAnsi="仿宋" w:eastAsia="仿宋" w:cs="宋体"/>
                <w:kern w:val="0"/>
                <w:sz w:val="20"/>
                <w:szCs w:val="20"/>
              </w:rPr>
            </w:pPr>
          </w:p>
        </w:tc>
        <w:tc>
          <w:tcPr>
            <w:tcW w:w="850" w:type="dxa"/>
            <w:vMerge w:val="continue"/>
            <w:tcBorders>
              <w:left w:val="nil"/>
              <w:bottom w:val="single" w:color="auto" w:sz="4" w:space="0"/>
              <w:right w:val="single" w:color="auto" w:sz="4" w:space="0"/>
            </w:tcBorders>
            <w:vAlign w:val="center"/>
          </w:tcPr>
          <w:p>
            <w:pPr>
              <w:jc w:val="center"/>
              <w:rPr>
                <w:rFonts w:ascii="仿宋" w:hAnsi="仿宋" w:eastAsia="仿宋" w:cs="宋体"/>
                <w:kern w:val="0"/>
                <w:sz w:val="20"/>
                <w:szCs w:val="20"/>
              </w:rPr>
            </w:pPr>
          </w:p>
        </w:tc>
        <w:tc>
          <w:tcPr>
            <w:tcW w:w="993"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重点工作办结率</w:t>
            </w:r>
            <w:r>
              <w:rPr>
                <w:rFonts w:hint="eastAsia" w:ascii="仿宋" w:hAnsi="仿宋" w:eastAsia="仿宋" w:cs="宋体"/>
                <w:spacing w:val="-20"/>
                <w:kern w:val="0"/>
                <w:sz w:val="20"/>
                <w:szCs w:val="20"/>
              </w:rPr>
              <w:t>（10分）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部门年度重点工作实际完成数与交办或下达数的比率，用以反映部门对重点工作的办理落实程度。</w:t>
            </w:r>
          </w:p>
        </w:tc>
        <w:tc>
          <w:tcPr>
            <w:tcW w:w="3257"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重点工作办结率=（重点工作实际完成数/交办或下达数）×100%。实际得分=办结率*10分。</w:t>
            </w:r>
          </w:p>
        </w:tc>
        <w:tc>
          <w:tcPr>
            <w:tcW w:w="625" w:type="dxa"/>
            <w:tcBorders>
              <w:top w:val="nil"/>
              <w:left w:val="nil"/>
              <w:bottom w:val="single" w:color="auto" w:sz="4" w:space="0"/>
              <w:right w:val="single" w:color="auto" w:sz="4" w:space="0"/>
            </w:tcBorders>
            <w:vAlign w:val="center"/>
          </w:tcPr>
          <w:p>
            <w:pPr>
              <w:widowControl/>
              <w:ind w:firstLine="480" w:firstLineChars="200"/>
              <w:jc w:val="left"/>
              <w:rPr>
                <w:rFonts w:ascii="仿宋" w:hAnsi="仿宋" w:eastAsia="仿宋" w:cs="宋体"/>
                <w:kern w:val="0"/>
                <w:sz w:val="24"/>
              </w:rPr>
            </w:pPr>
            <w:r>
              <w:rPr>
                <w:rFonts w:hint="eastAsia" w:ascii="仿宋" w:hAnsi="仿宋" w:eastAsia="仿宋" w:cs="宋体"/>
                <w:kern w:val="0"/>
                <w:sz w:val="24"/>
              </w:rPr>
              <w:t xml:space="preserve"> 10</w:t>
            </w:r>
          </w:p>
        </w:tc>
      </w:tr>
      <w:tr>
        <w:tblPrEx>
          <w:tblCellMar>
            <w:top w:w="0" w:type="dxa"/>
            <w:left w:w="108" w:type="dxa"/>
            <w:bottom w:w="0" w:type="dxa"/>
            <w:right w:w="108" w:type="dxa"/>
          </w:tblCellMar>
        </w:tblPrEx>
        <w:trPr>
          <w:trHeight w:val="546" w:hRule="atLeast"/>
          <w:jc w:val="center"/>
        </w:trPr>
        <w:tc>
          <w:tcPr>
            <w:tcW w:w="682" w:type="dxa"/>
            <w:vMerge w:val="continue"/>
            <w:tcBorders>
              <w:left w:val="single" w:color="auto" w:sz="4" w:space="0"/>
              <w:right w:val="single" w:color="auto" w:sz="4" w:space="0"/>
            </w:tcBorders>
            <w:textDirection w:val="tbRlV"/>
            <w:vAlign w:val="center"/>
          </w:tcPr>
          <w:p>
            <w:pPr>
              <w:ind w:left="113" w:right="113"/>
              <w:jc w:val="center"/>
              <w:rPr>
                <w:rFonts w:ascii="仿宋" w:hAnsi="仿宋" w:eastAsia="仿宋"/>
                <w:sz w:val="20"/>
                <w:szCs w:val="20"/>
              </w:rPr>
            </w:pPr>
          </w:p>
        </w:tc>
        <w:tc>
          <w:tcPr>
            <w:tcW w:w="85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履职 效益</w:t>
            </w:r>
            <w:r>
              <w:rPr>
                <w:rFonts w:hint="eastAsia" w:ascii="仿宋" w:hAnsi="仿宋" w:eastAsia="仿宋" w:cs="宋体"/>
                <w:spacing w:val="-20"/>
                <w:kern w:val="0"/>
                <w:sz w:val="20"/>
                <w:szCs w:val="20"/>
              </w:rPr>
              <w:t>（20分）</w:t>
            </w:r>
          </w:p>
        </w:tc>
        <w:tc>
          <w:tcPr>
            <w:tcW w:w="993"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经济</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效益</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（5分）</w:t>
            </w:r>
          </w:p>
        </w:tc>
        <w:tc>
          <w:tcPr>
            <w:tcW w:w="241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部门履行职责对经济发展所带来的直接或间接影响。</w:t>
            </w:r>
          </w:p>
        </w:tc>
        <w:tc>
          <w:tcPr>
            <w:tcW w:w="3257" w:type="dxa"/>
            <w:tcBorders>
              <w:top w:val="single" w:color="auto" w:sz="4" w:space="0"/>
              <w:left w:val="single" w:color="auto" w:sz="4" w:space="0"/>
              <w:bottom w:val="single" w:color="auto" w:sz="4" w:space="0"/>
              <w:right w:val="single" w:color="000000"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按经济效益实现程度计算得分（5分）。</w:t>
            </w:r>
          </w:p>
        </w:tc>
        <w:tc>
          <w:tcPr>
            <w:tcW w:w="625"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5</w:t>
            </w:r>
          </w:p>
        </w:tc>
      </w:tr>
      <w:tr>
        <w:tblPrEx>
          <w:tblCellMar>
            <w:top w:w="0" w:type="dxa"/>
            <w:left w:w="108" w:type="dxa"/>
            <w:bottom w:w="0" w:type="dxa"/>
            <w:right w:w="108" w:type="dxa"/>
          </w:tblCellMar>
        </w:tblPrEx>
        <w:trPr>
          <w:trHeight w:val="556"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top w:val="single" w:color="auto" w:sz="4" w:space="0"/>
              <w:left w:val="single" w:color="auto" w:sz="4" w:space="0"/>
              <w:bottom w:val="single" w:color="000000"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社会</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效益</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（5分）</w:t>
            </w:r>
          </w:p>
        </w:tc>
        <w:tc>
          <w:tcPr>
            <w:tcW w:w="2413" w:type="dxa"/>
            <w:tcBorders>
              <w:top w:val="single" w:color="auto" w:sz="4" w:space="0"/>
              <w:left w:val="single" w:color="auto" w:sz="4" w:space="0"/>
              <w:bottom w:val="single" w:color="auto" w:sz="4" w:space="0"/>
              <w:right w:val="single" w:color="auto" w:sz="4" w:space="0"/>
            </w:tcBorders>
            <w:vAlign w:val="center"/>
          </w:tcPr>
          <w:p>
            <w:pPr>
              <w:spacing w:line="260" w:lineRule="exact"/>
              <w:rPr>
                <w:rFonts w:ascii="仿宋" w:hAnsi="仿宋" w:eastAsia="仿宋" w:cs="宋体"/>
                <w:kern w:val="0"/>
                <w:sz w:val="20"/>
                <w:szCs w:val="20"/>
              </w:rPr>
            </w:pPr>
            <w:r>
              <w:rPr>
                <w:rFonts w:hint="eastAsia" w:ascii="仿宋" w:hAnsi="仿宋" w:eastAsia="仿宋" w:cs="宋体"/>
                <w:kern w:val="0"/>
                <w:sz w:val="20"/>
                <w:szCs w:val="20"/>
              </w:rPr>
              <w:t>部门履行职责对社会发展所带来的直接或间接影响。</w:t>
            </w:r>
          </w:p>
        </w:tc>
        <w:tc>
          <w:tcPr>
            <w:tcW w:w="3257" w:type="dxa"/>
            <w:tcBorders>
              <w:top w:val="single" w:color="auto" w:sz="4" w:space="0"/>
              <w:left w:val="single" w:color="auto" w:sz="4" w:space="0"/>
              <w:bottom w:val="single" w:color="auto" w:sz="4" w:space="0"/>
              <w:right w:val="single" w:color="000000" w:sz="4" w:space="0"/>
            </w:tcBorders>
            <w:vAlign w:val="center"/>
          </w:tcPr>
          <w:p>
            <w:pPr>
              <w:spacing w:line="260" w:lineRule="exact"/>
              <w:rPr>
                <w:rFonts w:ascii="仿宋" w:hAnsi="仿宋" w:eastAsia="仿宋" w:cs="宋体"/>
                <w:kern w:val="0"/>
                <w:sz w:val="20"/>
                <w:szCs w:val="20"/>
              </w:rPr>
            </w:pPr>
            <w:r>
              <w:rPr>
                <w:rFonts w:hint="eastAsia" w:ascii="仿宋" w:hAnsi="仿宋" w:eastAsia="仿宋" w:cs="宋体"/>
                <w:kern w:val="0"/>
                <w:sz w:val="20"/>
                <w:szCs w:val="20"/>
              </w:rPr>
              <w:t>按社会效益实现程度计算得分（5分）。</w:t>
            </w:r>
          </w:p>
        </w:tc>
        <w:tc>
          <w:tcPr>
            <w:tcW w:w="625"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5</w:t>
            </w:r>
          </w:p>
        </w:tc>
      </w:tr>
      <w:tr>
        <w:tblPrEx>
          <w:tblCellMar>
            <w:top w:w="0" w:type="dxa"/>
            <w:left w:w="108" w:type="dxa"/>
            <w:bottom w:w="0" w:type="dxa"/>
            <w:right w:w="108" w:type="dxa"/>
          </w:tblCellMar>
        </w:tblPrEx>
        <w:trPr>
          <w:trHeight w:val="1225" w:hRule="atLeast"/>
          <w:jc w:val="center"/>
        </w:trPr>
        <w:tc>
          <w:tcPr>
            <w:tcW w:w="682" w:type="dxa"/>
            <w:vMerge w:val="continue"/>
            <w:tcBorders>
              <w:left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top w:val="single" w:color="auto" w:sz="4" w:space="0"/>
              <w:left w:val="single" w:color="auto" w:sz="4" w:space="0"/>
              <w:bottom w:val="single" w:color="000000" w:sz="4" w:space="0"/>
              <w:right w:val="single" w:color="auto" w:sz="4" w:space="0"/>
            </w:tcBorders>
            <w:vAlign w:val="center"/>
          </w:tcPr>
          <w:p>
            <w:pPr>
              <w:rPr>
                <w:rFonts w:ascii="仿宋" w:hAnsi="仿宋" w:eastAsia="仿宋"/>
                <w:sz w:val="20"/>
                <w:szCs w:val="20"/>
              </w:rPr>
            </w:pPr>
          </w:p>
        </w:tc>
        <w:tc>
          <w:tcPr>
            <w:tcW w:w="993"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生态</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效益</w:t>
            </w:r>
          </w:p>
          <w:p>
            <w:pPr>
              <w:widowControl/>
              <w:jc w:val="center"/>
              <w:rPr>
                <w:rFonts w:ascii="仿宋" w:hAnsi="仿宋" w:eastAsia="仿宋" w:cs="宋体"/>
                <w:kern w:val="0"/>
                <w:sz w:val="20"/>
                <w:szCs w:val="20"/>
              </w:rPr>
            </w:pPr>
            <w:r>
              <w:rPr>
                <w:rFonts w:hint="eastAsia" w:ascii="仿宋" w:hAnsi="仿宋" w:eastAsia="仿宋" w:cs="宋体"/>
                <w:kern w:val="0"/>
                <w:sz w:val="20"/>
                <w:szCs w:val="20"/>
              </w:rPr>
              <w:t>（5分）</w:t>
            </w:r>
          </w:p>
        </w:tc>
        <w:tc>
          <w:tcPr>
            <w:tcW w:w="2413" w:type="dxa"/>
            <w:tcBorders>
              <w:top w:val="single" w:color="auto" w:sz="4" w:space="0"/>
              <w:left w:val="single" w:color="auto" w:sz="4" w:space="0"/>
              <w:bottom w:val="single" w:color="auto" w:sz="4" w:space="0"/>
              <w:right w:val="single" w:color="auto" w:sz="4" w:space="0"/>
            </w:tcBorders>
            <w:vAlign w:val="center"/>
          </w:tcPr>
          <w:p>
            <w:pPr>
              <w:spacing w:line="260" w:lineRule="exact"/>
              <w:rPr>
                <w:rFonts w:ascii="仿宋" w:hAnsi="仿宋" w:eastAsia="仿宋" w:cs="宋体"/>
                <w:kern w:val="0"/>
                <w:sz w:val="20"/>
                <w:szCs w:val="20"/>
              </w:rPr>
            </w:pPr>
            <w:r>
              <w:rPr>
                <w:rFonts w:hint="eastAsia" w:ascii="仿宋" w:hAnsi="仿宋" w:eastAsia="仿宋" w:cs="宋体"/>
                <w:kern w:val="0"/>
                <w:sz w:val="20"/>
                <w:szCs w:val="20"/>
              </w:rPr>
              <w:t>部门履行职责对生态环境所带来的直接或间接影响。</w:t>
            </w:r>
          </w:p>
        </w:tc>
        <w:tc>
          <w:tcPr>
            <w:tcW w:w="3257" w:type="dxa"/>
            <w:tcBorders>
              <w:top w:val="single" w:color="auto" w:sz="4" w:space="0"/>
              <w:left w:val="single" w:color="auto" w:sz="4" w:space="0"/>
              <w:bottom w:val="single" w:color="auto" w:sz="4" w:space="0"/>
              <w:right w:val="single" w:color="000000" w:sz="4" w:space="0"/>
            </w:tcBorders>
            <w:vAlign w:val="center"/>
          </w:tcPr>
          <w:p>
            <w:pPr>
              <w:spacing w:line="260" w:lineRule="exact"/>
              <w:rPr>
                <w:rFonts w:ascii="仿宋" w:hAnsi="仿宋" w:eastAsia="仿宋" w:cs="宋体"/>
                <w:kern w:val="0"/>
                <w:sz w:val="20"/>
                <w:szCs w:val="20"/>
              </w:rPr>
            </w:pPr>
            <w:r>
              <w:rPr>
                <w:rFonts w:hint="eastAsia" w:ascii="仿宋" w:hAnsi="仿宋" w:eastAsia="仿宋" w:cs="宋体"/>
                <w:kern w:val="0"/>
                <w:sz w:val="20"/>
                <w:szCs w:val="20"/>
              </w:rPr>
              <w:t>按生态效益实现程度计算得分（5分）。</w:t>
            </w:r>
          </w:p>
        </w:tc>
        <w:tc>
          <w:tcPr>
            <w:tcW w:w="625" w:type="dxa"/>
            <w:tcBorders>
              <w:top w:val="single" w:color="auto" w:sz="4" w:space="0"/>
              <w:left w:val="nil"/>
              <w:bottom w:val="single" w:color="auto" w:sz="4" w:space="0"/>
              <w:right w:val="single" w:color="auto" w:sz="4" w:space="0"/>
            </w:tcBorders>
            <w:vAlign w:val="center"/>
          </w:tcPr>
          <w:p>
            <w:pPr>
              <w:ind w:firstLine="200" w:firstLineChars="100"/>
              <w:rPr>
                <w:rFonts w:ascii="仿宋" w:hAnsi="仿宋" w:eastAsia="仿宋"/>
                <w:b/>
                <w:sz w:val="20"/>
                <w:szCs w:val="20"/>
              </w:rPr>
            </w:pPr>
            <w:r>
              <w:rPr>
                <w:rFonts w:hint="eastAsia" w:ascii="仿宋" w:hAnsi="仿宋" w:eastAsia="仿宋"/>
                <w:b/>
                <w:sz w:val="20"/>
                <w:szCs w:val="20"/>
              </w:rPr>
              <w:t>5</w:t>
            </w:r>
          </w:p>
        </w:tc>
      </w:tr>
      <w:tr>
        <w:tblPrEx>
          <w:tblCellMar>
            <w:top w:w="0" w:type="dxa"/>
            <w:left w:w="108" w:type="dxa"/>
            <w:bottom w:w="0" w:type="dxa"/>
            <w:right w:w="108" w:type="dxa"/>
          </w:tblCellMar>
        </w:tblPrEx>
        <w:trPr>
          <w:trHeight w:val="1974" w:hRule="atLeast"/>
          <w:jc w:val="center"/>
        </w:trPr>
        <w:tc>
          <w:tcPr>
            <w:tcW w:w="682" w:type="dxa"/>
            <w:vMerge w:val="continue"/>
            <w:tcBorders>
              <w:left w:val="single" w:color="auto" w:sz="4" w:space="0"/>
              <w:bottom w:val="single" w:color="auto" w:sz="4" w:space="0"/>
              <w:right w:val="single" w:color="auto" w:sz="4" w:space="0"/>
            </w:tcBorders>
            <w:vAlign w:val="center"/>
          </w:tcPr>
          <w:p>
            <w:pPr>
              <w:rPr>
                <w:rFonts w:ascii="仿宋" w:hAnsi="仿宋" w:eastAsia="仿宋"/>
                <w:sz w:val="20"/>
                <w:szCs w:val="20"/>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sz w:val="20"/>
                <w:szCs w:val="20"/>
              </w:rPr>
            </w:pPr>
          </w:p>
        </w:tc>
        <w:tc>
          <w:tcPr>
            <w:tcW w:w="993" w:type="dxa"/>
            <w:tcBorders>
              <w:top w:val="nil"/>
              <w:left w:val="nil"/>
              <w:bottom w:val="single" w:color="auto" w:sz="4" w:space="0"/>
              <w:right w:val="single" w:color="auto" w:sz="4" w:space="0"/>
            </w:tcBorders>
            <w:vAlign w:val="center"/>
          </w:tcPr>
          <w:p>
            <w:pPr>
              <w:widowControl/>
              <w:jc w:val="left"/>
              <w:rPr>
                <w:rFonts w:ascii="仿宋" w:hAnsi="仿宋" w:eastAsia="仿宋" w:cs="宋体"/>
                <w:kern w:val="0"/>
                <w:sz w:val="20"/>
                <w:szCs w:val="20"/>
              </w:rPr>
            </w:pPr>
            <w:r>
              <w:rPr>
                <w:rFonts w:hint="eastAsia" w:ascii="仿宋" w:hAnsi="仿宋" w:eastAsia="仿宋" w:cs="宋体"/>
                <w:kern w:val="0"/>
                <w:sz w:val="20"/>
                <w:szCs w:val="20"/>
              </w:rPr>
              <w:t>社会公众或服务对象满意度（5分）</w:t>
            </w:r>
          </w:p>
        </w:tc>
        <w:tc>
          <w:tcPr>
            <w:tcW w:w="2413"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社会公众或部门的服务对象对部门履职效果的满意程度。</w:t>
            </w:r>
          </w:p>
        </w:tc>
        <w:tc>
          <w:tcPr>
            <w:tcW w:w="3257" w:type="dxa"/>
            <w:tcBorders>
              <w:top w:val="single" w:color="auto" w:sz="4" w:space="0"/>
              <w:left w:val="nil"/>
              <w:bottom w:val="single" w:color="auto" w:sz="4" w:space="0"/>
              <w:right w:val="single" w:color="auto" w:sz="4" w:space="0"/>
            </w:tcBorders>
            <w:vAlign w:val="center"/>
          </w:tcPr>
          <w:p>
            <w:pPr>
              <w:widowControl/>
              <w:spacing w:line="260" w:lineRule="exact"/>
              <w:rPr>
                <w:rFonts w:ascii="仿宋" w:hAnsi="仿宋" w:eastAsia="仿宋" w:cs="宋体"/>
                <w:kern w:val="0"/>
                <w:sz w:val="20"/>
                <w:szCs w:val="20"/>
              </w:rPr>
            </w:pPr>
            <w:r>
              <w:rPr>
                <w:rFonts w:hint="eastAsia" w:ascii="仿宋" w:hAnsi="仿宋" w:eastAsia="仿宋" w:cs="宋体"/>
                <w:kern w:val="0"/>
                <w:sz w:val="20"/>
                <w:szCs w:val="20"/>
              </w:rPr>
              <w:t>按收集到的服务对象的满意率计算得分（5分），社会公众或服务对象是指部门（单位）履行职责而影响到的部门、群体或个人，一般采取社会调查的方式。</w:t>
            </w:r>
          </w:p>
        </w:tc>
        <w:tc>
          <w:tcPr>
            <w:tcW w:w="625"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cs="宋体"/>
                <w:kern w:val="0"/>
                <w:sz w:val="24"/>
              </w:rPr>
            </w:pPr>
            <w:r>
              <w:rPr>
                <w:rFonts w:hint="eastAsia" w:ascii="仿宋" w:hAnsi="仿宋" w:eastAsia="仿宋" w:cs="宋体"/>
                <w:kern w:val="0"/>
                <w:sz w:val="24"/>
              </w:rPr>
              <w:t>　5</w:t>
            </w:r>
          </w:p>
        </w:tc>
      </w:tr>
      <w:tr>
        <w:tblPrEx>
          <w:tblCellMar>
            <w:top w:w="0" w:type="dxa"/>
            <w:left w:w="108" w:type="dxa"/>
            <w:bottom w:w="0" w:type="dxa"/>
            <w:right w:w="108" w:type="dxa"/>
          </w:tblCellMar>
        </w:tblPrEx>
        <w:trPr>
          <w:trHeight w:val="826" w:hRule="atLeast"/>
          <w:jc w:val="center"/>
        </w:trPr>
        <w:tc>
          <w:tcPr>
            <w:tcW w:w="2525" w:type="dxa"/>
            <w:gridSpan w:val="3"/>
            <w:tcBorders>
              <w:top w:val="single" w:color="auto" w:sz="4" w:space="0"/>
              <w:left w:val="single" w:color="auto" w:sz="4" w:space="0"/>
              <w:bottom w:val="single" w:color="000000" w:sz="4" w:space="0"/>
              <w:right w:val="single" w:color="auto" w:sz="4" w:space="0"/>
            </w:tcBorders>
            <w:vAlign w:val="center"/>
          </w:tcPr>
          <w:p>
            <w:pPr>
              <w:widowControl/>
              <w:jc w:val="center"/>
              <w:rPr>
                <w:rFonts w:ascii="仿宋" w:hAnsi="仿宋" w:eastAsia="仿宋" w:cs="宋体"/>
                <w:kern w:val="0"/>
                <w:sz w:val="20"/>
                <w:szCs w:val="20"/>
              </w:rPr>
            </w:pPr>
            <w:r>
              <w:rPr>
                <w:rFonts w:hint="eastAsia" w:ascii="仿宋" w:hAnsi="仿宋" w:eastAsia="仿宋" w:cs="宋体"/>
                <w:kern w:val="0"/>
                <w:sz w:val="20"/>
                <w:szCs w:val="20"/>
              </w:rPr>
              <w:t xml:space="preserve"> 自评总分</w:t>
            </w:r>
          </w:p>
        </w:tc>
        <w:tc>
          <w:tcPr>
            <w:tcW w:w="6295"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rPr>
            </w:pPr>
            <w:r>
              <w:rPr>
                <w:rFonts w:hint="eastAsia" w:ascii="仿宋" w:hAnsi="仿宋" w:eastAsia="仿宋" w:cs="宋体"/>
                <w:kern w:val="0"/>
                <w:sz w:val="24"/>
              </w:rPr>
              <w:t>95.5</w:t>
            </w:r>
          </w:p>
        </w:tc>
      </w:tr>
    </w:tbl>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tabs>
          <w:tab w:val="left" w:pos="1502"/>
          <w:tab w:val="left" w:pos="2455"/>
          <w:tab w:val="left" w:pos="5327"/>
        </w:tabs>
        <w:jc w:val="left"/>
        <w:rPr>
          <w:rFonts w:ascii="黑体" w:eastAsia="黑体"/>
          <w:sz w:val="32"/>
          <w:szCs w:val="32"/>
        </w:rPr>
      </w:pPr>
    </w:p>
    <w:p>
      <w:pPr>
        <w:ind w:firstLine="640" w:firstLineChars="200"/>
        <w:jc w:val="left"/>
        <w:rPr>
          <w:rFonts w:ascii="宋体" w:hAnsi="宋体" w:cs="黑体"/>
          <w:color w:val="000000"/>
          <w:kern w:val="0"/>
          <w:sz w:val="32"/>
          <w:szCs w:val="32"/>
        </w:rPr>
      </w:pPr>
    </w:p>
    <w:sectPr>
      <w:pgSz w:w="11906" w:h="16838"/>
      <w:pgMar w:top="720" w:right="720" w:bottom="720" w:left="72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方正舒体"/>
    <w:panose1 w:val="02010601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72F366"/>
    <w:multiLevelType w:val="singleLevel"/>
    <w:tmpl w:val="0072F366"/>
    <w:lvl w:ilvl="0" w:tentative="0">
      <w:start w:val="4"/>
      <w:numFmt w:val="chineseCounting"/>
      <w:suff w:val="nothing"/>
      <w:lvlText w:val="%1、"/>
      <w:lvlJc w:val="left"/>
      <w:rPr>
        <w:rFonts w:hint="eastAsia"/>
      </w:rPr>
    </w:lvl>
  </w:abstractNum>
  <w:abstractNum w:abstractNumId="1">
    <w:nsid w:val="37E1C36F"/>
    <w:multiLevelType w:val="singleLevel"/>
    <w:tmpl w:val="37E1C36F"/>
    <w:lvl w:ilvl="0" w:tentative="0">
      <w:start w:val="2"/>
      <w:numFmt w:val="chineseCounting"/>
      <w:suff w:val="nothing"/>
      <w:lvlText w:val="（%1）"/>
      <w:lvlJc w:val="left"/>
      <w:rPr>
        <w:rFonts w:hint="eastAsia"/>
      </w:rPr>
    </w:lvl>
  </w:abstractNum>
  <w:abstractNum w:abstractNumId="2">
    <w:nsid w:val="5AF985F0"/>
    <w:multiLevelType w:val="singleLevel"/>
    <w:tmpl w:val="5AF985F0"/>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FiZDIzMjBhYjY3YjcwYmIxYWI1NjM4YzVmYjEyMDMifQ=="/>
  </w:docVars>
  <w:rsids>
    <w:rsidRoot w:val="004506F9"/>
    <w:rsid w:val="0002229B"/>
    <w:rsid w:val="000273BD"/>
    <w:rsid w:val="000415B7"/>
    <w:rsid w:val="00041E3F"/>
    <w:rsid w:val="00055DAA"/>
    <w:rsid w:val="00061F7B"/>
    <w:rsid w:val="000658A3"/>
    <w:rsid w:val="00074155"/>
    <w:rsid w:val="00080869"/>
    <w:rsid w:val="00092E0F"/>
    <w:rsid w:val="000A3F69"/>
    <w:rsid w:val="000B484C"/>
    <w:rsid w:val="000C6BEE"/>
    <w:rsid w:val="00103957"/>
    <w:rsid w:val="00152C6D"/>
    <w:rsid w:val="00162D39"/>
    <w:rsid w:val="001642B9"/>
    <w:rsid w:val="001678BD"/>
    <w:rsid w:val="001840A6"/>
    <w:rsid w:val="001A67DB"/>
    <w:rsid w:val="001C3C29"/>
    <w:rsid w:val="001D51E5"/>
    <w:rsid w:val="001E080D"/>
    <w:rsid w:val="001E53D0"/>
    <w:rsid w:val="001F0C3B"/>
    <w:rsid w:val="00202C82"/>
    <w:rsid w:val="00214427"/>
    <w:rsid w:val="002247A3"/>
    <w:rsid w:val="00226CB7"/>
    <w:rsid w:val="00263648"/>
    <w:rsid w:val="00264552"/>
    <w:rsid w:val="00264EF9"/>
    <w:rsid w:val="00265724"/>
    <w:rsid w:val="0027426B"/>
    <w:rsid w:val="002E0A30"/>
    <w:rsid w:val="00301FC8"/>
    <w:rsid w:val="003130C4"/>
    <w:rsid w:val="00316C4B"/>
    <w:rsid w:val="0032192B"/>
    <w:rsid w:val="003353DB"/>
    <w:rsid w:val="003479BD"/>
    <w:rsid w:val="0037197D"/>
    <w:rsid w:val="003768D5"/>
    <w:rsid w:val="003C47E6"/>
    <w:rsid w:val="003C4955"/>
    <w:rsid w:val="003C4FC2"/>
    <w:rsid w:val="003D26D6"/>
    <w:rsid w:val="00416E61"/>
    <w:rsid w:val="0042790C"/>
    <w:rsid w:val="004506F9"/>
    <w:rsid w:val="004717A2"/>
    <w:rsid w:val="00473DF3"/>
    <w:rsid w:val="00483143"/>
    <w:rsid w:val="00487911"/>
    <w:rsid w:val="00491741"/>
    <w:rsid w:val="00500E5F"/>
    <w:rsid w:val="005122EF"/>
    <w:rsid w:val="0051441A"/>
    <w:rsid w:val="00517C33"/>
    <w:rsid w:val="00523644"/>
    <w:rsid w:val="0054069E"/>
    <w:rsid w:val="00544866"/>
    <w:rsid w:val="005767CC"/>
    <w:rsid w:val="00590D9F"/>
    <w:rsid w:val="00595D26"/>
    <w:rsid w:val="005A74E6"/>
    <w:rsid w:val="005B404E"/>
    <w:rsid w:val="005B5F32"/>
    <w:rsid w:val="005D4D55"/>
    <w:rsid w:val="005E2CFB"/>
    <w:rsid w:val="005F3D1C"/>
    <w:rsid w:val="00607E5F"/>
    <w:rsid w:val="0062378F"/>
    <w:rsid w:val="00641842"/>
    <w:rsid w:val="00651EEC"/>
    <w:rsid w:val="00691E8C"/>
    <w:rsid w:val="006A22C4"/>
    <w:rsid w:val="006A351B"/>
    <w:rsid w:val="006B0422"/>
    <w:rsid w:val="006C1B53"/>
    <w:rsid w:val="006C5AD7"/>
    <w:rsid w:val="006D7730"/>
    <w:rsid w:val="006E5284"/>
    <w:rsid w:val="006F3EB5"/>
    <w:rsid w:val="00702E34"/>
    <w:rsid w:val="00704395"/>
    <w:rsid w:val="00717621"/>
    <w:rsid w:val="0072074E"/>
    <w:rsid w:val="00720FF1"/>
    <w:rsid w:val="00727A53"/>
    <w:rsid w:val="007648A6"/>
    <w:rsid w:val="00787B42"/>
    <w:rsid w:val="007C4539"/>
    <w:rsid w:val="007F3657"/>
    <w:rsid w:val="00812ED5"/>
    <w:rsid w:val="008277D9"/>
    <w:rsid w:val="0084478C"/>
    <w:rsid w:val="0086638C"/>
    <w:rsid w:val="008A3E8D"/>
    <w:rsid w:val="008A5F0C"/>
    <w:rsid w:val="009237C4"/>
    <w:rsid w:val="00933424"/>
    <w:rsid w:val="00944C48"/>
    <w:rsid w:val="00947B39"/>
    <w:rsid w:val="00950252"/>
    <w:rsid w:val="00967F5D"/>
    <w:rsid w:val="009A0F95"/>
    <w:rsid w:val="009A6B38"/>
    <w:rsid w:val="009B3ADF"/>
    <w:rsid w:val="009C3B52"/>
    <w:rsid w:val="009E6817"/>
    <w:rsid w:val="009E6E9A"/>
    <w:rsid w:val="00A01D2B"/>
    <w:rsid w:val="00A36E88"/>
    <w:rsid w:val="00A42218"/>
    <w:rsid w:val="00A45FE6"/>
    <w:rsid w:val="00A55C76"/>
    <w:rsid w:val="00A70249"/>
    <w:rsid w:val="00A70B02"/>
    <w:rsid w:val="00A71D9F"/>
    <w:rsid w:val="00A81725"/>
    <w:rsid w:val="00A92E9F"/>
    <w:rsid w:val="00AA6B6F"/>
    <w:rsid w:val="00B33BEA"/>
    <w:rsid w:val="00B57C9F"/>
    <w:rsid w:val="00B63572"/>
    <w:rsid w:val="00B71F59"/>
    <w:rsid w:val="00B845B3"/>
    <w:rsid w:val="00B85D8B"/>
    <w:rsid w:val="00BA182A"/>
    <w:rsid w:val="00BB4A40"/>
    <w:rsid w:val="00BD6C3E"/>
    <w:rsid w:val="00BE3674"/>
    <w:rsid w:val="00BE6BF2"/>
    <w:rsid w:val="00C10681"/>
    <w:rsid w:val="00C15AF8"/>
    <w:rsid w:val="00C3049A"/>
    <w:rsid w:val="00C31B1E"/>
    <w:rsid w:val="00C62B08"/>
    <w:rsid w:val="00C77645"/>
    <w:rsid w:val="00C840FA"/>
    <w:rsid w:val="00CC00A3"/>
    <w:rsid w:val="00CC109B"/>
    <w:rsid w:val="00CC372D"/>
    <w:rsid w:val="00CE04C3"/>
    <w:rsid w:val="00CE2F3C"/>
    <w:rsid w:val="00CE76A0"/>
    <w:rsid w:val="00D148C6"/>
    <w:rsid w:val="00D17A8A"/>
    <w:rsid w:val="00D415BA"/>
    <w:rsid w:val="00D644EE"/>
    <w:rsid w:val="00DD06FF"/>
    <w:rsid w:val="00DD5FE9"/>
    <w:rsid w:val="00DF3972"/>
    <w:rsid w:val="00E00C7A"/>
    <w:rsid w:val="00E37D6C"/>
    <w:rsid w:val="00E55B68"/>
    <w:rsid w:val="00E67BE6"/>
    <w:rsid w:val="00E84C36"/>
    <w:rsid w:val="00E8683C"/>
    <w:rsid w:val="00EA2B72"/>
    <w:rsid w:val="00EC7CCA"/>
    <w:rsid w:val="00EE0455"/>
    <w:rsid w:val="00EF399F"/>
    <w:rsid w:val="00F224F6"/>
    <w:rsid w:val="00F74360"/>
    <w:rsid w:val="00F85BAB"/>
    <w:rsid w:val="00FA774A"/>
    <w:rsid w:val="00FB462F"/>
    <w:rsid w:val="00FD0A17"/>
    <w:rsid w:val="00FE16FA"/>
    <w:rsid w:val="00FE328A"/>
    <w:rsid w:val="00FE6269"/>
    <w:rsid w:val="012E29C2"/>
    <w:rsid w:val="014378DB"/>
    <w:rsid w:val="014E4831"/>
    <w:rsid w:val="01506F42"/>
    <w:rsid w:val="022501D5"/>
    <w:rsid w:val="02585C99"/>
    <w:rsid w:val="02EF45A8"/>
    <w:rsid w:val="02F620EC"/>
    <w:rsid w:val="03164457"/>
    <w:rsid w:val="035B6A58"/>
    <w:rsid w:val="03705FD4"/>
    <w:rsid w:val="03726640"/>
    <w:rsid w:val="03823DC1"/>
    <w:rsid w:val="04884D14"/>
    <w:rsid w:val="048D2458"/>
    <w:rsid w:val="05BD7C23"/>
    <w:rsid w:val="062A125F"/>
    <w:rsid w:val="067D368C"/>
    <w:rsid w:val="08CF19F7"/>
    <w:rsid w:val="092E4E12"/>
    <w:rsid w:val="0AA33C68"/>
    <w:rsid w:val="0AEA55A9"/>
    <w:rsid w:val="0B840618"/>
    <w:rsid w:val="0C5C75E2"/>
    <w:rsid w:val="0D4311C5"/>
    <w:rsid w:val="0D4620D3"/>
    <w:rsid w:val="0E097D65"/>
    <w:rsid w:val="0EFB5968"/>
    <w:rsid w:val="0F2010AD"/>
    <w:rsid w:val="0F33641B"/>
    <w:rsid w:val="0FE45EC8"/>
    <w:rsid w:val="106552EE"/>
    <w:rsid w:val="106E4943"/>
    <w:rsid w:val="11E066FC"/>
    <w:rsid w:val="11FF7519"/>
    <w:rsid w:val="121D0812"/>
    <w:rsid w:val="12F47542"/>
    <w:rsid w:val="12FD4E48"/>
    <w:rsid w:val="13185A01"/>
    <w:rsid w:val="14144AC3"/>
    <w:rsid w:val="15046493"/>
    <w:rsid w:val="15444310"/>
    <w:rsid w:val="15480591"/>
    <w:rsid w:val="16397FD6"/>
    <w:rsid w:val="16470A4A"/>
    <w:rsid w:val="17963882"/>
    <w:rsid w:val="17DE0A92"/>
    <w:rsid w:val="181E1116"/>
    <w:rsid w:val="199813E3"/>
    <w:rsid w:val="1AFC200E"/>
    <w:rsid w:val="1CB52AA8"/>
    <w:rsid w:val="1E2655E1"/>
    <w:rsid w:val="1F6976CD"/>
    <w:rsid w:val="1F6F61B0"/>
    <w:rsid w:val="1F8838BC"/>
    <w:rsid w:val="216A46C0"/>
    <w:rsid w:val="222547CC"/>
    <w:rsid w:val="224C77B5"/>
    <w:rsid w:val="22BB74CD"/>
    <w:rsid w:val="22D42B4B"/>
    <w:rsid w:val="232C225F"/>
    <w:rsid w:val="237558D5"/>
    <w:rsid w:val="23EE28C0"/>
    <w:rsid w:val="24A7199A"/>
    <w:rsid w:val="24D51F09"/>
    <w:rsid w:val="24EF1324"/>
    <w:rsid w:val="277259A8"/>
    <w:rsid w:val="278D28B5"/>
    <w:rsid w:val="27942C72"/>
    <w:rsid w:val="27FD0A7C"/>
    <w:rsid w:val="290F33BA"/>
    <w:rsid w:val="294976A3"/>
    <w:rsid w:val="29C744E6"/>
    <w:rsid w:val="2A1515A9"/>
    <w:rsid w:val="2BB568A7"/>
    <w:rsid w:val="2C6F2942"/>
    <w:rsid w:val="2C893C68"/>
    <w:rsid w:val="2E976E66"/>
    <w:rsid w:val="2F125892"/>
    <w:rsid w:val="2F4A53D4"/>
    <w:rsid w:val="2F887E18"/>
    <w:rsid w:val="2F8A205C"/>
    <w:rsid w:val="302A068E"/>
    <w:rsid w:val="30AC3E58"/>
    <w:rsid w:val="30BF33A1"/>
    <w:rsid w:val="30EB6F97"/>
    <w:rsid w:val="31BD4B83"/>
    <w:rsid w:val="324632D1"/>
    <w:rsid w:val="33167E6F"/>
    <w:rsid w:val="33283C11"/>
    <w:rsid w:val="35915F4A"/>
    <w:rsid w:val="36113D6B"/>
    <w:rsid w:val="3710026F"/>
    <w:rsid w:val="39030935"/>
    <w:rsid w:val="39B743B1"/>
    <w:rsid w:val="39E36E75"/>
    <w:rsid w:val="3BC6711A"/>
    <w:rsid w:val="3BD01401"/>
    <w:rsid w:val="3CE234F1"/>
    <w:rsid w:val="3CEF2F77"/>
    <w:rsid w:val="3D7E5FB0"/>
    <w:rsid w:val="3E0079FE"/>
    <w:rsid w:val="3F5148A0"/>
    <w:rsid w:val="3F8F641B"/>
    <w:rsid w:val="40B03EE1"/>
    <w:rsid w:val="41015EA6"/>
    <w:rsid w:val="41495631"/>
    <w:rsid w:val="42116373"/>
    <w:rsid w:val="4213521F"/>
    <w:rsid w:val="422363B0"/>
    <w:rsid w:val="438276CD"/>
    <w:rsid w:val="43B636C2"/>
    <w:rsid w:val="44250021"/>
    <w:rsid w:val="45E90F9D"/>
    <w:rsid w:val="46D751FF"/>
    <w:rsid w:val="471108AA"/>
    <w:rsid w:val="47895209"/>
    <w:rsid w:val="47DE5339"/>
    <w:rsid w:val="4866625B"/>
    <w:rsid w:val="49EA4098"/>
    <w:rsid w:val="4B393932"/>
    <w:rsid w:val="4B473B98"/>
    <w:rsid w:val="4B793BBA"/>
    <w:rsid w:val="4BEB6CBD"/>
    <w:rsid w:val="4CD20E64"/>
    <w:rsid w:val="4D3930BB"/>
    <w:rsid w:val="4D4454A5"/>
    <w:rsid w:val="4EC54CE7"/>
    <w:rsid w:val="4ECF1472"/>
    <w:rsid w:val="4F6D0E1A"/>
    <w:rsid w:val="504D6FF4"/>
    <w:rsid w:val="50822FDC"/>
    <w:rsid w:val="520B24D2"/>
    <w:rsid w:val="52500408"/>
    <w:rsid w:val="52D9362B"/>
    <w:rsid w:val="533B49CF"/>
    <w:rsid w:val="53A1169F"/>
    <w:rsid w:val="545F35A2"/>
    <w:rsid w:val="555D73AA"/>
    <w:rsid w:val="55DD5D94"/>
    <w:rsid w:val="56353BB5"/>
    <w:rsid w:val="56B126E7"/>
    <w:rsid w:val="570C2813"/>
    <w:rsid w:val="570E2C51"/>
    <w:rsid w:val="575E66BB"/>
    <w:rsid w:val="57D77911"/>
    <w:rsid w:val="57F2203D"/>
    <w:rsid w:val="5862540D"/>
    <w:rsid w:val="58634A48"/>
    <w:rsid w:val="587023A8"/>
    <w:rsid w:val="58C748A0"/>
    <w:rsid w:val="58DB433B"/>
    <w:rsid w:val="59015730"/>
    <w:rsid w:val="59EF7F1C"/>
    <w:rsid w:val="59FE211D"/>
    <w:rsid w:val="5CB818EA"/>
    <w:rsid w:val="5CE252DF"/>
    <w:rsid w:val="5DCB1319"/>
    <w:rsid w:val="5EE268EE"/>
    <w:rsid w:val="5F9915DA"/>
    <w:rsid w:val="5FEB7148"/>
    <w:rsid w:val="60B93178"/>
    <w:rsid w:val="61BB2740"/>
    <w:rsid w:val="61C450B1"/>
    <w:rsid w:val="62DA4CA7"/>
    <w:rsid w:val="62EB5EBC"/>
    <w:rsid w:val="63CA6968"/>
    <w:rsid w:val="63F86799"/>
    <w:rsid w:val="640D4F28"/>
    <w:rsid w:val="6418383E"/>
    <w:rsid w:val="649345A2"/>
    <w:rsid w:val="664A45CC"/>
    <w:rsid w:val="66E9115C"/>
    <w:rsid w:val="674F1B24"/>
    <w:rsid w:val="67F8748D"/>
    <w:rsid w:val="685C284B"/>
    <w:rsid w:val="68966062"/>
    <w:rsid w:val="69D04BC8"/>
    <w:rsid w:val="6A69782D"/>
    <w:rsid w:val="6B934998"/>
    <w:rsid w:val="6BEE4CFB"/>
    <w:rsid w:val="6C2363E6"/>
    <w:rsid w:val="6D867DC3"/>
    <w:rsid w:val="6F25300F"/>
    <w:rsid w:val="6F5C228C"/>
    <w:rsid w:val="6FF51780"/>
    <w:rsid w:val="6FFC102B"/>
    <w:rsid w:val="721B7981"/>
    <w:rsid w:val="724461B2"/>
    <w:rsid w:val="761F0309"/>
    <w:rsid w:val="762E591C"/>
    <w:rsid w:val="76D108A1"/>
    <w:rsid w:val="773A3849"/>
    <w:rsid w:val="779034C9"/>
    <w:rsid w:val="77CB75EC"/>
    <w:rsid w:val="783E060D"/>
    <w:rsid w:val="795F229B"/>
    <w:rsid w:val="79781E2F"/>
    <w:rsid w:val="799F3E95"/>
    <w:rsid w:val="7B9541E0"/>
    <w:rsid w:val="7BD32074"/>
    <w:rsid w:val="7C78201A"/>
    <w:rsid w:val="7CA22494"/>
    <w:rsid w:val="7CC80ECB"/>
    <w:rsid w:val="7CCF093D"/>
    <w:rsid w:val="7E14046C"/>
    <w:rsid w:val="7E96289E"/>
    <w:rsid w:val="7F02661E"/>
    <w:rsid w:val="7F6253A8"/>
    <w:rsid w:val="7FAB127D"/>
    <w:rsid w:val="7FF318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批注框文本 Char"/>
    <w:basedOn w:val="6"/>
    <w:link w:val="2"/>
    <w:semiHidden/>
    <w:qFormat/>
    <w:uiPriority w:val="99"/>
    <w:rPr>
      <w:sz w:val="18"/>
      <w:szCs w:val="18"/>
    </w:rPr>
  </w:style>
  <w:style w:type="character" w:customStyle="1" w:styleId="9">
    <w:name w:val="页脚 Char"/>
    <w:basedOn w:val="6"/>
    <w:link w:val="3"/>
    <w:qFormat/>
    <w:uiPriority w:val="99"/>
    <w:rPr>
      <w:sz w:val="18"/>
      <w:szCs w:val="18"/>
    </w:rPr>
  </w:style>
  <w:style w:type="paragraph" w:styleId="10">
    <w:name w:val="List Paragraph"/>
    <w:basedOn w:val="1"/>
    <w:qFormat/>
    <w:uiPriority w:val="34"/>
    <w:pPr>
      <w:ind w:firstLine="420" w:firstLineChars="200"/>
    </w:pPr>
  </w:style>
  <w:style w:type="paragraph" w:customStyle="1" w:styleId="11">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23</Pages>
  <Words>13046</Words>
  <Characters>14244</Characters>
  <Lines>103</Lines>
  <Paragraphs>29</Paragraphs>
  <TotalTime>23</TotalTime>
  <ScaleCrop>false</ScaleCrop>
  <LinksUpToDate>false</LinksUpToDate>
  <CharactersWithSpaces>14285</CharactersWithSpaces>
  <Application>WPS Office_12.1.0.15404_F1E327BC-269C-435d-A152-05C5408002CA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2023-09-28T07:37:00Z</dcterms:created>
  <dc:creator>李航 null</dc:creator>
  <cp:lastModifiedBy>sky丶歆</cp:lastModifiedBy>
  <cp:lastPrinted>2022-10-10T02:52:00Z</cp:lastPrinted>
  <dcterms:modified xsi:type="dcterms:W3CDTF">2023-10-07T08:13:46Z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2052-12.1.0.15404</vt:lpwstr>
  </property>
  <property fmtid="{D5CDD505-2E9C-101B-9397-08002B2CF9AE}" pid="3" name="ICV">
    <vt:lpwstr>F3C2EB68360C49108AA201F83C11AB34_13</vt:lpwstr>
  </property>
</Properties>
</file>