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益高委乡振组办发〔2023〕15号</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关于下达2023年区级财政衔接推进乡村振兴补助资金项目计划的通知</w:t>
      </w:r>
    </w:p>
    <w:p>
      <w:pPr>
        <w:keepNext w:val="0"/>
        <w:keepLines w:val="0"/>
        <w:pageBreakBefore w:val="0"/>
        <w:widowControl w:val="0"/>
        <w:kinsoku/>
        <w:wordWrap/>
        <w:overflowPunct/>
        <w:topLinePunct w:val="0"/>
        <w:autoSpaceDE/>
        <w:autoSpaceDN/>
        <w:bidi w:val="0"/>
        <w:adjustRightInd/>
        <w:snapToGrid/>
        <w:spacing w:line="590" w:lineRule="exact"/>
        <w:ind w:lef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10" w:lineRule="exact"/>
        <w:ind w:left="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谢林港镇、鱼形山街道办事处，区属相关单位：</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中央、省《衔接推进乡村振兴补助资金管理办法》文件精神和工作安排，经区委实施乡村振兴战略领导小组同意，现将2023年省级和区级财政衔接推进乡村振兴补助资金项目计划安排给你们，各责任单位要紧紧围绕实现巩固拓展脱贫攻坚成果同乡村振兴有效衔接目标和任务，严格按照有关规定，切实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使用方向。本次下达区级财政衔接推进乡村振兴补助资金项目计划主要是为我区村级集体发展产业项目和基本公共服务等项目建设。责任单位要进一步核实核准实施项目可行性、建设规模、建设内容和项目风险可控等。严格落实“四议两公开”和“项目实施管理程序”，实现预期绩效目标；提高财政衔接资金使用效益，确保资金安全使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二、资金来源。区级预算财政衔接推进乡村振兴补助资金300万元。</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申报程序。按照资金计划安排，谢林港镇、鱼形山街道办事处完善相关资料上报区工委实施乡村振兴战略领导小组办公室审定；项目责任单位要及时组织编制项目实施方案，积极组织项目实施，加快执行进度，切实强化资金监管，专款专用，对拟确定为产业帮扶的企业需按衔接资金使用要求组织前期可行性调查后方可使用衔接资金，以确保资金使用安全；严禁挤占、挪用、滞留，确保资金精准、安全、规范、高效使用。实施方案要明确项目概况、施工内容、项目概算、绩效目标等；依托龙头企业、专业合作社、村级集体经济组织等发展的产业项目，在方案中明确带动生产、就业务工、资产入股、帮扶产销对接收益分红等联农带农机制，做到合规、高效、公平、透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规范受益分配。为巩固拓展脱贫攻坚成果，推进乡村振兴发展，分配到各村的财政衔接资金必须专款专用，主要用途为乡村产业发展项目，项目所获得的收益由镇、村负责分配，确保不低于50%的收益份额通过生产奖补，开发公益岗位、发放临时救助、红利分配等方式用于帮扶本村监测对象和有困难的低收入人口，50%的收益份额为村集体收益，可用于建设农田水利、道路、标准化生产、加工营销等基础设施或人居环境整治建设，也可用于产业再投资；但不得用于偿还债务、发放工资、支付工作经费等开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资金监督。镇（街道）、村级各责任单位对项目实施情况要列入常态化监管内容，并纳入工作考核范围，对项目实施不重视、责任不落实、管理不到位、项目实施效率低、安全责任落实不到位等情况，将按相关文件规定对相关责任人予以追责。</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附件：益阳高新区2023年区级财政衔接推进乡村振兴补助资金计划明细表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3520" w:firstLineChars="11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right="210" w:rightChars="100" w:firstLine="2880" w:firstLineChars="9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中共益阳高新区工委</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right="210" w:rightChars="100" w:firstLine="2880" w:firstLineChars="9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实施乡村振兴战略领导小组办公室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0" w:firstLineChars="15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2023年10月18日</w:t>
      </w:r>
    </w:p>
    <w:p>
      <w:pPr>
        <w:widowControl w:val="0"/>
        <w:numPr>
          <w:ilvl w:val="0"/>
          <w:numId w:val="0"/>
        </w:numPr>
        <w:jc w:val="both"/>
        <w:rPr>
          <w:rFonts w:hint="default" w:ascii="仿宋_GB2312" w:hAnsi="仿宋_GB2312" w:eastAsia="仿宋_GB2312" w:cs="仿宋_GB2312"/>
          <w:sz w:val="32"/>
          <w:szCs w:val="32"/>
          <w:lang w:val="en-US" w:eastAsia="zh-CN"/>
        </w:rPr>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益阳高新区2023年区级财政衔接推进乡村振兴补助资金项目计划明细表</w:t>
      </w:r>
    </w:p>
    <w:tbl>
      <w:tblPr>
        <w:tblStyle w:val="7"/>
        <w:tblpPr w:leftFromText="180" w:rightFromText="180" w:vertAnchor="text" w:horzAnchor="page" w:tblpXSpec="center" w:tblpY="172"/>
        <w:tblOverlap w:val="never"/>
        <w:tblW w:w="14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90"/>
        <w:gridCol w:w="1275"/>
        <w:gridCol w:w="1788"/>
        <w:gridCol w:w="4612"/>
        <w:gridCol w:w="1117"/>
        <w:gridCol w:w="1561"/>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9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12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街道/乡镇</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村社区</w:t>
            </w:r>
          </w:p>
        </w:tc>
        <w:tc>
          <w:tcPr>
            <w:tcW w:w="461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1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资金规模和筹资方式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1080"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189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61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项目预算总投资</w:t>
            </w:r>
          </w:p>
        </w:tc>
        <w:tc>
          <w:tcPr>
            <w:tcW w:w="25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080"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189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61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w:t>
            </w:r>
          </w:p>
        </w:tc>
        <w:tc>
          <w:tcPr>
            <w:tcW w:w="10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宝林冲社区</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桐木冲至斑竹山机耕道</w:t>
            </w:r>
            <w:r>
              <w:rPr>
                <w:rFonts w:hint="eastAsia" w:ascii="宋体" w:hAnsi="宋体"/>
                <w:color w:val="000000"/>
                <w:sz w:val="20"/>
                <w:szCs w:val="20"/>
                <w:lang w:val="en-US" w:eastAsia="zh-CN"/>
              </w:rPr>
              <w:t>新建</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13</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r>
              <w:rPr>
                <w:rFonts w:hint="eastAsia" w:ascii="宋体" w:hAnsi="宋体"/>
                <w:color w:val="000000"/>
                <w:sz w:val="20"/>
                <w:szCs w:val="20"/>
                <w:lang w:val="en-US" w:eastAsia="zh-CN"/>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宝林冲社区</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高质量油菜种植</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10</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宝林冲社区</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桐木冲渠道</w:t>
            </w:r>
            <w:r>
              <w:rPr>
                <w:rFonts w:hint="eastAsia" w:ascii="宋体" w:hAnsi="宋体"/>
                <w:color w:val="000000"/>
                <w:sz w:val="20"/>
                <w:szCs w:val="20"/>
                <w:lang w:val="en-US" w:eastAsia="zh-CN"/>
              </w:rPr>
              <w:t>新建</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22</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20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宝林冲社区</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烂泥冲至刘家湾机耕道</w:t>
            </w:r>
            <w:r>
              <w:rPr>
                <w:rFonts w:hint="eastAsia" w:ascii="宋体" w:hAnsi="宋体"/>
                <w:color w:val="000000"/>
                <w:sz w:val="20"/>
                <w:szCs w:val="20"/>
                <w:lang w:val="en-US" w:eastAsia="zh-CN"/>
              </w:rPr>
              <w:t>新建</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11</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r>
              <w:rPr>
                <w:rFonts w:hint="eastAsia" w:ascii="宋体" w:hAnsi="宋体"/>
                <w:color w:val="000000"/>
                <w:sz w:val="20"/>
                <w:szCs w:val="20"/>
                <w:lang w:val="en-US" w:eastAsia="zh-CN"/>
              </w:rPr>
              <w:t>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宝林冲社区</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滴水洞至楼子屋机耕道</w:t>
            </w:r>
            <w:r>
              <w:rPr>
                <w:rFonts w:hint="eastAsia" w:ascii="宋体" w:hAnsi="宋体"/>
                <w:color w:val="000000"/>
                <w:sz w:val="20"/>
                <w:szCs w:val="20"/>
                <w:lang w:val="en-US" w:eastAsia="zh-CN"/>
              </w:rPr>
              <w:t>新建</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8.5</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大泉村</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高益塘清淤工程</w:t>
            </w:r>
            <w:r>
              <w:rPr>
                <w:rFonts w:hint="eastAsia" w:ascii="宋体" w:hAnsi="宋体"/>
                <w:color w:val="000000"/>
                <w:sz w:val="20"/>
                <w:szCs w:val="20"/>
                <w:lang w:val="en-US" w:eastAsia="zh-CN"/>
              </w:rPr>
              <w:t>新建</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8</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鱼形山村</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寒婆山塘塘基护坡、清淤、新建水沟</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9</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lang w:val="en-US" w:eastAsia="zh-CN"/>
              </w:rPr>
              <w:t>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宋体" w:cs="宋体"/>
                <w:i w:val="0"/>
                <w:iCs w:val="0"/>
                <w:color w:val="000000"/>
                <w:sz w:val="20"/>
                <w:szCs w:val="20"/>
                <w:u w:val="none"/>
                <w:lang w:val="en-US" w:eastAsia="zh-CN"/>
              </w:rPr>
            </w:pPr>
            <w:r>
              <w:rPr>
                <w:rFonts w:hint="eastAsia" w:ascii="宋体" w:hAnsi="宋体"/>
                <w:color w:val="000000"/>
                <w:sz w:val="20"/>
                <w:szCs w:val="20"/>
              </w:rPr>
              <w:t>产业发展项目</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color w:val="000000"/>
                <w:sz w:val="20"/>
                <w:szCs w:val="20"/>
              </w:rPr>
              <w:t>鱼形山街道</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color w:val="000000"/>
                <w:sz w:val="20"/>
                <w:szCs w:val="20"/>
                <w:lang w:val="en-US" w:eastAsia="zh-CN"/>
              </w:rPr>
              <w:t>百羊庄村</w:t>
            </w:r>
          </w:p>
        </w:tc>
        <w:tc>
          <w:tcPr>
            <w:tcW w:w="4612"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color w:val="000000"/>
                <w:sz w:val="20"/>
                <w:szCs w:val="20"/>
                <w:lang w:val="en-US" w:eastAsia="zh-CN"/>
              </w:rPr>
              <w:t>百羊庄村高质量经济庭院发展</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宋体" w:cs="宋体"/>
                <w:i w:val="0"/>
                <w:iCs w:val="0"/>
                <w:color w:val="000000"/>
                <w:sz w:val="20"/>
                <w:szCs w:val="20"/>
                <w:u w:val="none"/>
                <w:lang w:val="en-US" w:eastAsia="zh-CN"/>
              </w:rPr>
            </w:pPr>
            <w:r>
              <w:rPr>
                <w:rFonts w:hint="eastAsia" w:ascii="宋体" w:hAnsi="宋体" w:cstheme="minorBidi"/>
                <w:color w:val="000000"/>
                <w:kern w:val="2"/>
                <w:sz w:val="20"/>
                <w:szCs w:val="20"/>
                <w:lang w:val="en-US" w:eastAsia="zh-CN" w:bidi="ar-SA"/>
              </w:rPr>
              <w:t>30</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default" w:ascii="宋体" w:hAnsi="宋体" w:eastAsia="宋体" w:cs="宋体"/>
                <w:i w:val="0"/>
                <w:iCs w:val="0"/>
                <w:color w:val="000000"/>
                <w:sz w:val="20"/>
                <w:szCs w:val="20"/>
                <w:u w:val="none"/>
                <w:lang w:val="en-US" w:eastAsia="zh-CN"/>
              </w:rPr>
            </w:pPr>
            <w:r>
              <w:rPr>
                <w:rFonts w:hint="eastAsia" w:ascii="宋体" w:hAnsi="宋体"/>
                <w:color w:val="000000"/>
                <w:sz w:val="20"/>
                <w:szCs w:val="20"/>
                <w:lang w:val="en-US" w:eastAsia="zh-CN"/>
              </w:rPr>
              <w:t>30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乡村建设行动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谢林港镇</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云寨村</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涧山至北峰烷大堤连接公路</w:t>
            </w:r>
            <w:r>
              <w:rPr>
                <w:rFonts w:hint="eastAsia" w:ascii="宋体" w:hAnsi="宋体"/>
                <w:color w:val="000000"/>
                <w:sz w:val="20"/>
                <w:szCs w:val="20"/>
                <w:lang w:val="en-US" w:eastAsia="zh-CN"/>
              </w:rPr>
              <w:t>新建</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99</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产业发展项目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高新区</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高新区</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创业致富带头人培训费</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产业发展项目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c>
          <w:tcPr>
            <w:tcW w:w="4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“防贫综合保”项目</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33.6</w:t>
            </w:r>
          </w:p>
        </w:tc>
        <w:tc>
          <w:tcPr>
            <w:tcW w:w="1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乡村建设行动</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46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“农村医保”参保项目</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“危房改造”项目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2023年“危房改造”项目</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36.8</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kern w:val="0"/>
                <w:sz w:val="20"/>
                <w:szCs w:val="20"/>
                <w:u w:val="none"/>
                <w:lang w:val="en-US" w:eastAsia="zh-CN" w:bidi="ar"/>
              </w:rPr>
              <w:t>36.8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“雨露计划”职业教育学历补助</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雨露计划</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numPr>
          <w:ilvl w:val="0"/>
          <w:numId w:val="0"/>
        </w:numPr>
        <w:jc w:val="both"/>
        <w:rPr>
          <w:rFonts w:hint="default" w:ascii="仿宋_GB2312" w:hAnsi="仿宋_GB2312" w:eastAsia="仿宋_GB2312" w:cs="仿宋_GB2312"/>
          <w:b/>
          <w:bCs/>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tbl>
      <w:tblPr>
        <w:tblStyle w:val="8"/>
        <w:tblpPr w:leftFromText="180" w:rightFromText="180" w:vertAnchor="text" w:horzAnchor="page" w:tblpX="1675" w:tblpY="81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vAlign w:val="top"/>
          </w:tcPr>
          <w:p>
            <w:pPr>
              <w:numPr>
                <w:ilvl w:val="0"/>
                <w:numId w:val="0"/>
              </w:numPr>
              <w:ind w:firstLine="211" w:firstLineChars="100"/>
              <w:jc w:val="left"/>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w w:val="66"/>
                <w:sz w:val="32"/>
                <w:szCs w:val="32"/>
                <w:vertAlign w:val="baseline"/>
                <w:lang w:val="en-US" w:eastAsia="zh-CN"/>
              </w:rPr>
              <w:t>中共益阳高新区工委实施乡村振兴领导小组办公室               2023年10月18日印发</w:t>
            </w:r>
          </w:p>
        </w:tc>
      </w:tr>
    </w:tbl>
    <w:p>
      <w:pPr>
        <w:numPr>
          <w:ilvl w:val="0"/>
          <w:numId w:val="0"/>
        </w:numPr>
        <w:jc w:val="left"/>
        <w:rPr>
          <w:rFonts w:hint="eastAsia" w:ascii="方正仿宋_GB2312" w:hAnsi="方正仿宋_GB2312" w:eastAsia="方正仿宋_GB2312" w:cs="方正仿宋_GB2312"/>
          <w:b w:val="0"/>
          <w:bCs w:val="0"/>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59E5CDE4-BC7F-4418-A6BB-70176A985871}"/>
  </w:font>
  <w:font w:name="方正小标宋简体">
    <w:panose1 w:val="03000509000000000000"/>
    <w:charset w:val="86"/>
    <w:family w:val="auto"/>
    <w:pitch w:val="default"/>
    <w:sig w:usb0="00000001" w:usb1="080E0000" w:usb2="00000000" w:usb3="00000000" w:csb0="00040000" w:csb1="00000000"/>
    <w:embedRegular r:id="rId2" w:fontKey="{6C18B79A-D7B8-4B5E-A915-6AD3A3B0A521}"/>
  </w:font>
  <w:font w:name="仿宋_GB2312">
    <w:panose1 w:val="02010609030101010101"/>
    <w:charset w:val="86"/>
    <w:family w:val="auto"/>
    <w:pitch w:val="default"/>
    <w:sig w:usb0="00000001" w:usb1="080E0000" w:usb2="00000000" w:usb3="00000000" w:csb0="00040000" w:csb1="00000000"/>
    <w:embedRegular r:id="rId3" w:fontKey="{64F7E45C-98A8-4F57-B2D4-CEE3C0052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2EzMjljODA1N2EwZDJiZDk3OWVhNjYzMjc0ZTAifQ=="/>
  </w:docVars>
  <w:rsids>
    <w:rsidRoot w:val="00172A27"/>
    <w:rsid w:val="024451E1"/>
    <w:rsid w:val="04702B00"/>
    <w:rsid w:val="05047822"/>
    <w:rsid w:val="0F18506B"/>
    <w:rsid w:val="126E0789"/>
    <w:rsid w:val="136D3188"/>
    <w:rsid w:val="1BED5CF0"/>
    <w:rsid w:val="1E711C14"/>
    <w:rsid w:val="220476C8"/>
    <w:rsid w:val="26356CDB"/>
    <w:rsid w:val="2A562461"/>
    <w:rsid w:val="2C517021"/>
    <w:rsid w:val="2C6A2847"/>
    <w:rsid w:val="2CDE6947"/>
    <w:rsid w:val="2DC10DDC"/>
    <w:rsid w:val="31BC1BC0"/>
    <w:rsid w:val="33F23C50"/>
    <w:rsid w:val="35B95346"/>
    <w:rsid w:val="36F125AE"/>
    <w:rsid w:val="37624477"/>
    <w:rsid w:val="3E9E221E"/>
    <w:rsid w:val="3FDC6250"/>
    <w:rsid w:val="416954B8"/>
    <w:rsid w:val="42897C18"/>
    <w:rsid w:val="45836B79"/>
    <w:rsid w:val="46BE4CA5"/>
    <w:rsid w:val="476830A5"/>
    <w:rsid w:val="4E70333D"/>
    <w:rsid w:val="505A0E19"/>
    <w:rsid w:val="50FC09D0"/>
    <w:rsid w:val="54FF569D"/>
    <w:rsid w:val="578A7455"/>
    <w:rsid w:val="5B956717"/>
    <w:rsid w:val="5F764345"/>
    <w:rsid w:val="5F993F01"/>
    <w:rsid w:val="6447606E"/>
    <w:rsid w:val="64E364F9"/>
    <w:rsid w:val="65DB0DBA"/>
    <w:rsid w:val="66E4594A"/>
    <w:rsid w:val="69816085"/>
    <w:rsid w:val="6BBF672F"/>
    <w:rsid w:val="735F1040"/>
    <w:rsid w:val="73A659C4"/>
    <w:rsid w:val="771B144D"/>
    <w:rsid w:val="79A10CC3"/>
    <w:rsid w:val="7DF8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kern w:val="0"/>
      <w:sz w:val="21"/>
      <w:szCs w:val="24"/>
    </w:rPr>
  </w:style>
  <w:style w:type="paragraph" w:styleId="3">
    <w:name w:val="toc 5"/>
    <w:basedOn w:val="1"/>
    <w:next w:val="1"/>
    <w:unhideWhenUsed/>
    <w:qFormat/>
    <w:uiPriority w:val="39"/>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99"/>
    <w:pPr>
      <w:spacing w:line="400" w:lineRule="exact"/>
      <w:ind w:firstLine="420" w:firstLineChars="10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1950</Words>
  <Characters>2028</Characters>
  <Lines>0</Lines>
  <Paragraphs>0</Paragraphs>
  <TotalTime>15</TotalTime>
  <ScaleCrop>false</ScaleCrop>
  <LinksUpToDate>false</LinksUpToDate>
  <CharactersWithSpaces>2122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2022-06-07T01:04:00Z</dcterms:created>
  <dc:creator>Administrator</dc:creator>
  <cp:lastModifiedBy>想飞的海东青</cp:lastModifiedBy>
  <cp:lastPrinted>2023-11-08T06:09:20Z</cp:lastPrinted>
  <dcterms:modified xsi:type="dcterms:W3CDTF">2023-11-08T06:09:39Z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C5598A9DAC044D30804877B9817B9191_13</vt:lpwstr>
  </property>
</Properties>
</file>