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785D">
      <w:pPr>
        <w:overflowPunct w:val="0"/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B1216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color w:val="0B1216"/>
          <w:sz w:val="44"/>
          <w:szCs w:val="44"/>
          <w:shd w:val="clear" w:color="auto" w:fill="FFFFFF"/>
          <w:lang w:eastAsia="zh-CN"/>
        </w:rPr>
        <w:t>益阳高新技术产业开发区</w:t>
      </w:r>
    </w:p>
    <w:p w14:paraId="721D2A06">
      <w:pPr>
        <w:overflowPunct w:val="0"/>
        <w:spacing w:line="700" w:lineRule="exact"/>
        <w:jc w:val="center"/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eastAsia="zh-CN"/>
        </w:rPr>
        <w:t>关于</w:t>
      </w:r>
      <w:r>
        <w:rPr>
          <w:rFonts w:hint="eastAsia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2024</w:t>
      </w:r>
      <w:r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年预算执行及202</w:t>
      </w:r>
      <w:r>
        <w:rPr>
          <w:rFonts w:hint="eastAsia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Cs/>
          <w:color w:val="0B1216"/>
          <w:spacing w:val="-11"/>
          <w:sz w:val="44"/>
          <w:szCs w:val="44"/>
          <w:shd w:val="clear" w:color="auto" w:fill="FFFFFF"/>
          <w:lang w:val="en-US" w:eastAsia="zh-CN"/>
        </w:rPr>
        <w:t>年预算草案的报告</w:t>
      </w:r>
    </w:p>
    <w:p w14:paraId="57D6D47F">
      <w:pPr>
        <w:overflowPunct w:val="0"/>
        <w:spacing w:line="60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</w:p>
    <w:p w14:paraId="3E7F71E7">
      <w:pPr>
        <w:overflowPunct w:val="0"/>
        <w:spacing w:line="600" w:lineRule="exact"/>
        <w:jc w:val="center"/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  <w:t>目</w:t>
      </w:r>
      <w:r>
        <w:rPr>
          <w:rFonts w:hint="eastAsia" w:ascii="Times New Roman" w:hAnsi="Times New Roman" w:eastAsia="黑体" w:cs="Times New Roman"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000000"/>
          <w:kern w:val="0"/>
          <w:sz w:val="44"/>
          <w:szCs w:val="44"/>
        </w:rPr>
        <w:t>录</w:t>
      </w:r>
    </w:p>
    <w:p w14:paraId="37BDAC65">
      <w:pPr>
        <w:overflowPunct w:val="0"/>
        <w:spacing w:line="600" w:lineRule="exact"/>
        <w:jc w:val="center"/>
        <w:rPr>
          <w:rFonts w:hint="default" w:ascii="Times New Roman" w:hAnsi="Times New Roman" w:eastAsia="方正楷体简体" w:cs="Times New Roman"/>
          <w:color w:val="000000"/>
          <w:kern w:val="0"/>
          <w:sz w:val="32"/>
          <w:szCs w:val="32"/>
        </w:rPr>
      </w:pPr>
    </w:p>
    <w:p w14:paraId="2136E1BA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年预算执行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及财政运行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情况</w:t>
      </w:r>
    </w:p>
    <w:p w14:paraId="017D5728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  <w:t>一般公共预算执行情况</w:t>
      </w:r>
    </w:p>
    <w:p w14:paraId="5F386896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（二）</w:t>
      </w: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政府性基金预算执行情况</w:t>
      </w:r>
    </w:p>
    <w:p w14:paraId="2DE5AE87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（三）</w:t>
      </w: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国有资本经营预算执行情况</w:t>
      </w:r>
    </w:p>
    <w:p w14:paraId="443A1541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）政府债务情况</w:t>
      </w:r>
    </w:p>
    <w:p w14:paraId="4DCB2326"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（五）主要财税政策和人大预算决议落实情况</w:t>
      </w:r>
    </w:p>
    <w:p w14:paraId="12158C86"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1.抓收入，夯实财政保障基础</w:t>
      </w:r>
    </w:p>
    <w:p w14:paraId="00BB73FF"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2.优结构，财政保障精准有效</w:t>
      </w:r>
    </w:p>
    <w:p w14:paraId="6C33A8C5"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3.推改革，提升财政管理效能</w:t>
      </w:r>
    </w:p>
    <w:p w14:paraId="55C1B45F"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4.防风险，确保财政平稳运行</w:t>
      </w:r>
    </w:p>
    <w:p w14:paraId="059B69CF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二、</w:t>
      </w:r>
      <w:r>
        <w:rPr>
          <w:rFonts w:hint="default" w:ascii="Times New Roman" w:hAnsi="Times New Roman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cs="Times New Roman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年预算</w:t>
      </w: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  <w:lang w:eastAsia="zh-CN"/>
        </w:rPr>
        <w:t>草案</w:t>
      </w:r>
    </w:p>
    <w:p w14:paraId="2286F6E9"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shd w:val="clear" w:color="auto" w:fill="FFFFFF"/>
        </w:rPr>
        <w:t>（一）</w:t>
      </w:r>
      <w:r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val="en-US" w:eastAsia="zh-CN"/>
        </w:rPr>
        <w:t>2025年预算编制情况</w:t>
      </w:r>
    </w:p>
    <w:p w14:paraId="28142432"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一般公共预算</w:t>
      </w:r>
    </w:p>
    <w:p w14:paraId="4503245B"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政府性基金预算</w:t>
      </w:r>
    </w:p>
    <w:p w14:paraId="4A886F08">
      <w:p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国有资本经营预算</w:t>
      </w:r>
    </w:p>
    <w:p w14:paraId="36ADE2E0"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Times New Roman" w:hAnsi="Times New Roman" w:eastAsia="楷体" w:cs="Times New Roman"/>
          <w:sz w:val="32"/>
          <w:szCs w:val="32"/>
          <w:shd w:val="clear" w:color="auto" w:fill="FFFFFF"/>
          <w:lang w:val="en-US" w:eastAsia="zh-CN"/>
        </w:rPr>
        <w:t>2025年财政改革和预算管理工作要点</w:t>
      </w:r>
    </w:p>
    <w:p w14:paraId="0F89FF73">
      <w:pPr>
        <w:numPr>
          <w:ilvl w:val="0"/>
          <w:numId w:val="0"/>
        </w:num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聚焦财源要点，增强财政综合实力</w:t>
      </w:r>
    </w:p>
    <w:p w14:paraId="666470E6">
      <w:pPr>
        <w:overflowPunct w:val="0"/>
        <w:spacing w:line="560" w:lineRule="exact"/>
        <w:ind w:firstLine="640" w:firstLineChars="200"/>
        <w:jc w:val="left"/>
        <w:rPr>
          <w:rFonts w:hint="eastAsia" w:ascii="仿宋" w:hAnsi="仿宋" w:eastAsia="仿宋_GB2312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2.把握支出重点，提高财政保障能力</w:t>
      </w:r>
    </w:p>
    <w:p w14:paraId="3F9EBAEB">
      <w:pPr>
        <w:overflowPunct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3.突出改革亮点，激发财政管理活力</w:t>
      </w:r>
    </w:p>
    <w:p w14:paraId="08502620">
      <w:pPr>
        <w:overflowPunct w:val="0"/>
        <w:spacing w:line="560" w:lineRule="exact"/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4.防范风险难点，增强持续发展定力</w:t>
      </w:r>
    </w:p>
    <w:p w14:paraId="48677B9D">
      <w:pPr>
        <w:overflowPunct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一：关于益阳高新区2024年预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算执行及2025年预算草案附表</w:t>
      </w:r>
    </w:p>
    <w:p w14:paraId="33BF0111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年高新区一般公共预算收入预算执行情况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 w14:paraId="5123FC63"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年高新区一般公共预算支出预算执行情况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 w14:paraId="447BE76C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3.2024年高新区一般公共预算收支平衡表</w:t>
      </w:r>
    </w:p>
    <w:p w14:paraId="5AD69851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年高新区政府性基金收入预算执行情况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 w14:paraId="2813C013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年高新区政府性基金支出预算执行情况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表</w:t>
      </w:r>
    </w:p>
    <w:p w14:paraId="04CE96EA"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2024年高新区国有资本经营收入预算执行情况表</w:t>
      </w:r>
    </w:p>
    <w:p w14:paraId="57A85E2D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7.2024年高新区国有资本经营支出预算执行情况表</w:t>
      </w:r>
    </w:p>
    <w:p w14:paraId="24DEB275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年高新区一般公共预算收入预算表</w:t>
      </w:r>
    </w:p>
    <w:p w14:paraId="1D23721C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年高新区一般公共预算支出预算表</w:t>
      </w:r>
    </w:p>
    <w:p w14:paraId="71A8A0E5"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10.2025年高新区一般公共预算支出预算表（本级）</w:t>
      </w:r>
    </w:p>
    <w:p w14:paraId="3F879275">
      <w:pPr>
        <w:overflowPunct w:val="0"/>
        <w:spacing w:line="56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11.2025年高新区一般公共预算收支平衡表</w:t>
      </w:r>
    </w:p>
    <w:p w14:paraId="4BCE50E9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12.2025年高新区一般公共预算支出预算明细表（本级）</w:t>
      </w:r>
    </w:p>
    <w:p w14:paraId="053494DA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年高新区一般公共预算基本支出明细表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（本级）</w:t>
      </w:r>
    </w:p>
    <w:p w14:paraId="1F2E905D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14.2025年高新区一般公共预算税收返还和转移支付表</w:t>
      </w:r>
    </w:p>
    <w:p w14:paraId="52C558EE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年高新区政府性基金收入预算表</w:t>
      </w:r>
    </w:p>
    <w:p w14:paraId="261D0D6C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年高新区政府性基金支出预算表</w:t>
      </w:r>
    </w:p>
    <w:p w14:paraId="74EA3938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（本级）</w:t>
      </w:r>
    </w:p>
    <w:p w14:paraId="5BBC1EAD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年高新区政府性基金支出预算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明细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表（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本级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 w14:paraId="088419E5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19.2025年高新区政府性基金转移支付表</w:t>
      </w:r>
    </w:p>
    <w:p w14:paraId="3689765E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年高新区国有资本经营收入预算表</w:t>
      </w:r>
    </w:p>
    <w:p w14:paraId="4B95D637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年高新区国有资本经营支出预算表</w:t>
      </w:r>
    </w:p>
    <w:p w14:paraId="1F6F5747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22.2025年高新区国有资本经营支出预算表（本级）</w:t>
      </w:r>
    </w:p>
    <w:p w14:paraId="35BA6317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23.2025年高新区国有资本经营预算转移支付表</w:t>
      </w:r>
    </w:p>
    <w:p w14:paraId="4495275F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年预算政府一般债务限额和余额情况表</w:t>
      </w:r>
    </w:p>
    <w:p w14:paraId="6FF8A807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年预算政府专项债务限额和余额情况表</w:t>
      </w:r>
    </w:p>
    <w:p w14:paraId="77B5D7F9">
      <w:pPr>
        <w:overflowPunct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年高新区“三公经费”支出预算表</w:t>
      </w:r>
    </w:p>
    <w:p w14:paraId="7CD406AA">
      <w:pPr>
        <w:overflowPunct w:val="0"/>
        <w:spacing w:line="560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附件二、益阳高新区2025年预算重要事项解释说明</w:t>
      </w:r>
    </w:p>
    <w:sectPr>
      <w:headerReference r:id="rId3" w:type="default"/>
      <w:footerReference r:id="rId4" w:type="default"/>
      <w:pgSz w:w="11906" w:h="16838"/>
      <w:pgMar w:top="1985" w:right="1588" w:bottom="1701" w:left="1588" w:header="851" w:footer="147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358A60">
    <w:pPr>
      <w:pStyle w:val="3"/>
      <w:tabs>
        <w:tab w:val="clear" w:pos="4153"/>
        <w:tab w:val="clear" w:pos="8306"/>
      </w:tabs>
      <w:jc w:val="center"/>
      <w:rPr>
        <w:rFonts w:hint="eastAsia" w:ascii="仿宋" w:hAnsi="仿宋" w:eastAsia="仿宋" w:cs="仿宋"/>
        <w:sz w:val="28"/>
        <w:szCs w:val="28"/>
      </w:rPr>
    </w:pPr>
    <w:r>
      <w:rPr>
        <w:rFonts w:hint="eastAsia" w:ascii="仿宋" w:hAnsi="仿宋" w:eastAsia="仿宋" w:cs="仿宋"/>
        <w:sz w:val="28"/>
        <w:szCs w:val="28"/>
      </w:rPr>
      <w:t xml:space="preserve">－ </w:t>
    </w:r>
    <w:r>
      <w:rPr>
        <w:rFonts w:hint="eastAsia" w:ascii="仿宋" w:hAnsi="仿宋" w:eastAsia="仿宋" w:cs="仿宋"/>
        <w:sz w:val="28"/>
        <w:szCs w:val="28"/>
      </w:rPr>
      <w:fldChar w:fldCharType="begin"/>
    </w:r>
    <w:r>
      <w:rPr>
        <w:rFonts w:hint="eastAsia" w:ascii="仿宋" w:hAnsi="仿宋" w:eastAsia="仿宋" w:cs="仿宋"/>
        <w:sz w:val="28"/>
        <w:szCs w:val="28"/>
      </w:rPr>
      <w:instrText xml:space="preserve"> PAGE   \* MERGEFORMAT </w:instrText>
    </w:r>
    <w:r>
      <w:rPr>
        <w:rFonts w:hint="eastAsia" w:ascii="仿宋" w:hAnsi="仿宋" w:eastAsia="仿宋" w:cs="仿宋"/>
        <w:sz w:val="28"/>
        <w:szCs w:val="28"/>
      </w:rPr>
      <w:fldChar w:fldCharType="separate"/>
    </w:r>
    <w:r>
      <w:rPr>
        <w:rFonts w:ascii="仿宋" w:hAnsi="仿宋" w:eastAsia="仿宋" w:cs="仿宋"/>
        <w:sz w:val="28"/>
        <w:szCs w:val="28"/>
        <w:lang w:val="zh-CN" w:eastAsia="zh-CN"/>
      </w:rPr>
      <w:t>2</w:t>
    </w:r>
    <w:r>
      <w:rPr>
        <w:rFonts w:hint="eastAsia" w:ascii="仿宋" w:hAnsi="仿宋" w:eastAsia="仿宋" w:cs="仿宋"/>
        <w:sz w:val="28"/>
        <w:szCs w:val="28"/>
      </w:rPr>
      <w:fldChar w:fldCharType="end"/>
    </w:r>
    <w:r>
      <w:rPr>
        <w:rFonts w:hint="eastAsia" w:ascii="仿宋" w:hAnsi="仿宋" w:eastAsia="仿宋" w:cs="仿宋"/>
        <w:sz w:val="28"/>
        <w:szCs w:val="28"/>
      </w:rPr>
      <w:t xml:space="preserve"> 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A4D754">
    <w:pPr>
      <w:pStyle w:val="4"/>
      <w:pBdr>
        <w:bottom w:val="none" w:color="auto" w:sz="0" w:space="1"/>
      </w:pBdr>
      <w:tabs>
        <w:tab w:val="left" w:pos="7627"/>
      </w:tabs>
      <w:jc w:val="left"/>
      <w:rPr>
        <w:rFonts w:hint="eastAsia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BjNDg2ODk5ZDhjYWU3OWRmY2Y0ZGFiZmMxZWZhNjUifQ=="/>
  </w:docVars>
  <w:rsids>
    <w:rsidRoot w:val="00340CA2"/>
    <w:rsid w:val="002202E1"/>
    <w:rsid w:val="00340CA2"/>
    <w:rsid w:val="005C091B"/>
    <w:rsid w:val="008602D8"/>
    <w:rsid w:val="00E97D94"/>
    <w:rsid w:val="0B5616FE"/>
    <w:rsid w:val="0D106482"/>
    <w:rsid w:val="1E6452E1"/>
    <w:rsid w:val="24004D15"/>
    <w:rsid w:val="319C56DB"/>
    <w:rsid w:val="4A9F26B9"/>
    <w:rsid w:val="582041ED"/>
    <w:rsid w:val="5F01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autoRedefine/>
    <w:qFormat/>
    <w:uiPriority w:val="0"/>
    <w:rPr>
      <w:rFonts w:ascii="宋体" w:hAnsi="Courier New" w:cs="Times New Roman"/>
    </w:rPr>
  </w:style>
  <w:style w:type="paragraph" w:styleId="3">
    <w:name w:val="footer"/>
    <w:basedOn w:val="1"/>
    <w:link w:val="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纯文本 Char"/>
    <w:basedOn w:val="6"/>
    <w:link w:val="2"/>
    <w:autoRedefine/>
    <w:qFormat/>
    <w:uiPriority w:val="0"/>
    <w:rPr>
      <w:rFonts w:ascii="宋体" w:hAnsi="Courier New" w:eastAsia="宋体" w:cs="Times New Roman"/>
      <w:szCs w:val="24"/>
    </w:rPr>
  </w:style>
  <w:style w:type="character" w:customStyle="1" w:styleId="8">
    <w:name w:val="页脚 Char"/>
    <w:basedOn w:val="6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0">
    <w:name w:val="p16"/>
    <w:basedOn w:val="1"/>
    <w:autoRedefine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769</Words>
  <Characters>962</Characters>
  <Lines>3</Lines>
  <Paragraphs>1</Paragraphs>
  <TotalTime>38</TotalTime>
  <ScaleCrop>false</ScaleCrop>
  <LinksUpToDate>false</LinksUpToDate>
  <CharactersWithSpaces>964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2023-09-07T08:59:00Z</dcterms:created>
  <dc:creator>微软用户</dc:creator>
  <cp:lastModifiedBy>午夜的挪威</cp:lastModifiedBy>
  <dcterms:modified xsi:type="dcterms:W3CDTF">2025-02-18T02:45:43Z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75E7FADCE14F4588B873D77800A3BAFF_12</vt:lpwstr>
  </property>
</Properties>
</file>