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highlight w:val="none"/>
        </w:rPr>
      </w:pPr>
      <w:r>
        <w:rPr>
          <w:rFonts w:hint="eastAsia"/>
          <w:sz w:val="84"/>
          <w:szCs w:val="84"/>
          <w:highlight w:val="none"/>
        </w:rPr>
        <w:t>2021年度</w:t>
      </w:r>
    </w:p>
    <w:p>
      <w:pPr>
        <w:pStyle w:val="10"/>
        <w:jc w:val="center"/>
        <w:rPr>
          <w:sz w:val="84"/>
          <w:szCs w:val="84"/>
          <w:highlight w:val="none"/>
        </w:rPr>
      </w:pPr>
      <w:r>
        <w:rPr>
          <w:rFonts w:hint="eastAsia"/>
          <w:sz w:val="84"/>
          <w:szCs w:val="84"/>
          <w:highlight w:val="none"/>
          <w:lang w:eastAsia="zh-CN"/>
        </w:rPr>
        <w:t>谢林港镇</w:t>
      </w:r>
      <w:r>
        <w:rPr>
          <w:rFonts w:hint="eastAsia"/>
          <w:sz w:val="84"/>
          <w:szCs w:val="84"/>
          <w:highlight w:val="none"/>
        </w:rPr>
        <w:t>部门决算</w:t>
      </w:r>
    </w:p>
    <w:p>
      <w:pPr>
        <w:pStyle w:val="10"/>
        <w:jc w:val="center"/>
        <w:rPr>
          <w:sz w:val="56"/>
          <w:szCs w:val="56"/>
          <w:highlight w:val="none"/>
        </w:rPr>
      </w:pPr>
    </w:p>
    <w:p>
      <w:pPr>
        <w:pStyle w:val="10"/>
        <w:jc w:val="center"/>
        <w:rPr>
          <w:sz w:val="56"/>
          <w:szCs w:val="56"/>
          <w:highlight w:val="none"/>
        </w:rPr>
      </w:pPr>
    </w:p>
    <w:p>
      <w:pPr>
        <w:pStyle w:val="10"/>
        <w:jc w:val="center"/>
        <w:rPr>
          <w:sz w:val="56"/>
          <w:szCs w:val="56"/>
          <w:highlight w:val="none"/>
        </w:rPr>
      </w:pPr>
    </w:p>
    <w:p>
      <w:pPr>
        <w:pStyle w:val="10"/>
        <w:jc w:val="center"/>
        <w:rPr>
          <w:sz w:val="56"/>
          <w:szCs w:val="56"/>
          <w:highlight w:val="none"/>
        </w:rPr>
      </w:pPr>
    </w:p>
    <w:p>
      <w:pPr>
        <w:pStyle w:val="10"/>
        <w:jc w:val="center"/>
        <w:rPr>
          <w:sz w:val="32"/>
          <w:szCs w:val="32"/>
          <w:highlight w:val="none"/>
        </w:rPr>
      </w:pPr>
    </w:p>
    <w:p>
      <w:pPr>
        <w:pStyle w:val="10"/>
        <w:jc w:val="center"/>
        <w:rPr>
          <w:sz w:val="32"/>
          <w:szCs w:val="32"/>
          <w:highlight w:val="none"/>
        </w:rPr>
      </w:pPr>
    </w:p>
    <w:p>
      <w:pPr>
        <w:pStyle w:val="10"/>
        <w:jc w:val="center"/>
        <w:rPr>
          <w:sz w:val="32"/>
          <w:szCs w:val="32"/>
          <w:highlight w:val="none"/>
        </w:rPr>
      </w:pPr>
    </w:p>
    <w:p>
      <w:pPr>
        <w:pStyle w:val="10"/>
        <w:jc w:val="center"/>
        <w:rPr>
          <w:sz w:val="32"/>
          <w:szCs w:val="32"/>
          <w:highlight w:val="none"/>
        </w:rPr>
      </w:pPr>
    </w:p>
    <w:p>
      <w:pPr>
        <w:pStyle w:val="10"/>
        <w:jc w:val="center"/>
        <w:rPr>
          <w:sz w:val="32"/>
          <w:szCs w:val="32"/>
          <w:highlight w:val="none"/>
        </w:rPr>
      </w:pPr>
    </w:p>
    <w:p>
      <w:pPr>
        <w:pStyle w:val="10"/>
        <w:spacing w:line="540" w:lineRule="exact"/>
        <w:jc w:val="center"/>
        <w:rPr>
          <w:sz w:val="56"/>
          <w:szCs w:val="56"/>
          <w:highlight w:val="none"/>
        </w:rPr>
      </w:pPr>
    </w:p>
    <w:p>
      <w:pPr>
        <w:pStyle w:val="10"/>
        <w:spacing w:line="500" w:lineRule="exact"/>
        <w:jc w:val="center"/>
        <w:rPr>
          <w:b/>
          <w:sz w:val="36"/>
          <w:szCs w:val="28"/>
          <w:highlight w:val="none"/>
        </w:rPr>
      </w:pPr>
    </w:p>
    <w:p>
      <w:pPr>
        <w:pStyle w:val="10"/>
        <w:spacing w:line="500" w:lineRule="exact"/>
        <w:jc w:val="center"/>
        <w:rPr>
          <w:b/>
          <w:sz w:val="36"/>
          <w:szCs w:val="28"/>
          <w:highlight w:val="none"/>
        </w:rPr>
      </w:pPr>
    </w:p>
    <w:p>
      <w:pPr>
        <w:pStyle w:val="10"/>
        <w:spacing w:line="500" w:lineRule="exact"/>
        <w:jc w:val="center"/>
        <w:rPr>
          <w:b/>
          <w:sz w:val="36"/>
          <w:szCs w:val="28"/>
          <w:highlight w:val="none"/>
        </w:rPr>
      </w:pPr>
      <w:r>
        <w:rPr>
          <w:rFonts w:hint="eastAsia"/>
          <w:b/>
          <w:sz w:val="36"/>
          <w:szCs w:val="28"/>
          <w:highlight w:val="none"/>
        </w:rPr>
        <w:t>目录</w:t>
      </w:r>
    </w:p>
    <w:p>
      <w:pPr>
        <w:pStyle w:val="10"/>
        <w:spacing w:line="500" w:lineRule="exact"/>
        <w:rPr>
          <w:rFonts w:ascii="仿宋_GB2312" w:hAnsi="仿宋_GB2312" w:cs="仿宋_GB2312"/>
          <w:b/>
          <w:sz w:val="28"/>
          <w:szCs w:val="28"/>
          <w:highlight w:val="none"/>
        </w:rPr>
      </w:pPr>
      <w:r>
        <w:rPr>
          <w:rFonts w:hint="eastAsia"/>
          <w:b/>
          <w:sz w:val="28"/>
          <w:szCs w:val="28"/>
          <w:highlight w:val="none"/>
        </w:rPr>
        <w:t>第一部分</w:t>
      </w:r>
      <w:r>
        <w:rPr>
          <w:rFonts w:hint="eastAsia"/>
          <w:b/>
          <w:sz w:val="28"/>
          <w:szCs w:val="28"/>
          <w:highlight w:val="none"/>
          <w:lang w:eastAsia="zh-CN"/>
        </w:rPr>
        <w:t>谢林港镇</w:t>
      </w:r>
      <w:r>
        <w:rPr>
          <w:rFonts w:hint="eastAsia"/>
          <w:b/>
          <w:sz w:val="28"/>
          <w:szCs w:val="28"/>
          <w:highlight w:val="none"/>
        </w:rPr>
        <w:t>单位概况</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一、部门职责</w:t>
      </w:r>
    </w:p>
    <w:p>
      <w:pPr>
        <w:pStyle w:val="10"/>
        <w:spacing w:line="500" w:lineRule="exact"/>
        <w:ind w:firstLine="700" w:firstLineChars="250"/>
        <w:rPr>
          <w:rFonts w:hint="default" w:cs="仿宋_GB2312" w:asciiTheme="minorEastAsia" w:hAnsiTheme="minorEastAsia" w:eastAsiaTheme="minorEastAsia"/>
          <w:sz w:val="28"/>
          <w:szCs w:val="28"/>
          <w:highlight w:val="none"/>
          <w:lang w:val="en-US" w:eastAsia="zh-CN"/>
        </w:rPr>
      </w:pPr>
      <w:r>
        <w:rPr>
          <w:rFonts w:cs="仿宋_GB2312" w:asciiTheme="minorEastAsia" w:hAnsiTheme="minorEastAsia" w:eastAsiaTheme="minorEastAsia"/>
          <w:sz w:val="28"/>
          <w:szCs w:val="28"/>
          <w:highlight w:val="none"/>
        </w:rPr>
        <w:t>二、机构设置</w:t>
      </w:r>
      <w:r>
        <w:rPr>
          <w:rFonts w:hint="eastAsia" w:cs="仿宋_GB2312" w:asciiTheme="minorEastAsia" w:hAnsiTheme="minorEastAsia" w:eastAsiaTheme="minorEastAsia"/>
          <w:sz w:val="28"/>
          <w:szCs w:val="28"/>
          <w:highlight w:val="none"/>
          <w:lang w:val="en-US" w:eastAsia="zh-CN"/>
        </w:rPr>
        <w:t>及决算单位构成</w:t>
      </w:r>
    </w:p>
    <w:p>
      <w:pPr>
        <w:pStyle w:val="10"/>
        <w:spacing w:line="500" w:lineRule="exact"/>
        <w:rPr>
          <w:rFonts w:ascii="仿宋_GB2312" w:hAnsi="仿宋_GB2312" w:cs="仿宋_GB2312"/>
          <w:b/>
          <w:sz w:val="28"/>
          <w:szCs w:val="28"/>
          <w:highlight w:val="none"/>
        </w:rPr>
      </w:pPr>
      <w:r>
        <w:rPr>
          <w:rFonts w:hint="eastAsia" w:hAnsi="仿宋_GB2312"/>
          <w:b/>
          <w:sz w:val="28"/>
          <w:szCs w:val="28"/>
          <w:highlight w:val="none"/>
        </w:rPr>
        <w:t>第二部分</w:t>
      </w:r>
      <w:r>
        <w:rPr>
          <w:rFonts w:hAnsi="仿宋_GB2312"/>
          <w:b/>
          <w:sz w:val="28"/>
          <w:szCs w:val="28"/>
          <w:highlight w:val="none"/>
        </w:rPr>
        <w:t>20</w:t>
      </w:r>
      <w:r>
        <w:rPr>
          <w:rFonts w:hint="eastAsia" w:hAnsi="仿宋_GB2312"/>
          <w:b/>
          <w:sz w:val="28"/>
          <w:szCs w:val="28"/>
          <w:highlight w:val="none"/>
        </w:rPr>
        <w:t>21年度部门决算表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二、收入决算表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三、支出决算表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六、一般公共预算财政拨款基本支出决算</w:t>
      </w:r>
      <w:r>
        <w:rPr>
          <w:rFonts w:hint="eastAsia" w:cs="仿宋_GB2312" w:asciiTheme="minorEastAsia" w:hAnsiTheme="minorEastAsia" w:eastAsiaTheme="minorEastAsia"/>
          <w:sz w:val="28"/>
          <w:szCs w:val="28"/>
          <w:highlight w:val="none"/>
        </w:rPr>
        <w:t>明细</w:t>
      </w:r>
      <w:r>
        <w:rPr>
          <w:rFonts w:cs="仿宋_GB2312" w:asciiTheme="minorEastAsia" w:hAnsiTheme="minorEastAsia" w:eastAsiaTheme="minorEastAsia"/>
          <w:sz w:val="28"/>
          <w:szCs w:val="28"/>
          <w:highlight w:val="none"/>
        </w:rPr>
        <w:t>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hint="eastAsia" w:cs="仿宋_GB2312" w:asciiTheme="minorEastAsia" w:hAnsiTheme="minorEastAsia" w:eastAsiaTheme="minorEastAsia"/>
          <w:sz w:val="28"/>
          <w:szCs w:val="28"/>
          <w:highlight w:val="none"/>
        </w:rPr>
        <w:t>九、国有资本经营预算财政拨款支出决算表</w:t>
      </w:r>
    </w:p>
    <w:p>
      <w:pPr>
        <w:pStyle w:val="10"/>
        <w:spacing w:line="500" w:lineRule="exact"/>
        <w:rPr>
          <w:rFonts w:ascii="仿宋_GB2312" w:hAnsi="仿宋_GB2312" w:cs="仿宋_GB2312"/>
          <w:b/>
          <w:sz w:val="28"/>
          <w:szCs w:val="28"/>
          <w:highlight w:val="none"/>
        </w:rPr>
      </w:pPr>
      <w:r>
        <w:rPr>
          <w:rFonts w:hint="eastAsia" w:hAnsi="仿宋_GB2312"/>
          <w:b/>
          <w:sz w:val="28"/>
          <w:szCs w:val="28"/>
          <w:highlight w:val="none"/>
        </w:rPr>
        <w:t>第三部分</w:t>
      </w:r>
      <w:r>
        <w:rPr>
          <w:rFonts w:hAnsi="仿宋_GB2312"/>
          <w:b/>
          <w:sz w:val="28"/>
          <w:szCs w:val="28"/>
          <w:highlight w:val="none"/>
        </w:rPr>
        <w:t>20</w:t>
      </w:r>
      <w:r>
        <w:rPr>
          <w:rFonts w:hint="eastAsia" w:hAnsi="仿宋_GB2312"/>
          <w:b/>
          <w:sz w:val="28"/>
          <w:szCs w:val="28"/>
          <w:highlight w:val="none"/>
        </w:rPr>
        <w:t>21年度部门决算情况说明</w:t>
      </w:r>
    </w:p>
    <w:p>
      <w:pPr>
        <w:pStyle w:val="10"/>
        <w:spacing w:line="500" w:lineRule="exact"/>
        <w:ind w:firstLine="700" w:firstLineChars="250"/>
        <w:rPr>
          <w:rFonts w:cs="仿宋_GB2312" w:asciiTheme="minorEastAsia" w:hAnsiTheme="minorEastAsia" w:eastAsiaTheme="minorEastAsia"/>
          <w:sz w:val="28"/>
          <w:szCs w:val="28"/>
          <w:highlight w:val="none"/>
        </w:rPr>
      </w:pPr>
      <w:r>
        <w:rPr>
          <w:rFonts w:cs="仿宋_GB2312" w:asciiTheme="minorEastAsia" w:hAnsiTheme="minorEastAsia" w:eastAsiaTheme="minorEastAsia"/>
          <w:sz w:val="28"/>
          <w:szCs w:val="28"/>
          <w:highlight w:val="none"/>
        </w:rPr>
        <w:t>一、收入支出决算总体情况说明</w:t>
      </w:r>
    </w:p>
    <w:p>
      <w:pPr>
        <w:spacing w:line="500" w:lineRule="exact"/>
        <w:ind w:firstLine="700" w:firstLineChars="250"/>
        <w:jc w:val="left"/>
        <w:rPr>
          <w:rFonts w:ascii="仿宋_GB2312" w:hAnsi="仿宋_GB2312" w:cs="仿宋_GB2312"/>
          <w:sz w:val="28"/>
          <w:szCs w:val="28"/>
          <w:highlight w:val="none"/>
        </w:rPr>
      </w:pPr>
      <w:r>
        <w:rPr>
          <w:rFonts w:ascii="仿宋_GB2312" w:hAnsi="仿宋_GB2312" w:cs="仿宋_GB2312"/>
          <w:sz w:val="28"/>
          <w:szCs w:val="28"/>
          <w:highlight w:val="none"/>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ascii="仿宋_GB2312" w:hAnsi="仿宋_GB2312" w:cs="仿宋_GB2312"/>
          <w:color w:val="000000"/>
          <w:kern w:val="0"/>
          <w:sz w:val="28"/>
          <w:szCs w:val="28"/>
          <w:highlight w:val="none"/>
        </w:rPr>
        <w:t>七、一般公共预算财政拨款</w:t>
      </w:r>
      <w:r>
        <w:rPr>
          <w:rFonts w:hint="eastAsia" w:ascii="仿宋_GB2312" w:hAnsi="仿宋_GB2312" w:cs="仿宋_GB2312"/>
          <w:color w:val="000000"/>
          <w:kern w:val="0"/>
          <w:sz w:val="28"/>
          <w:szCs w:val="28"/>
          <w:highlight w:val="none"/>
        </w:rPr>
        <w:t>“</w:t>
      </w:r>
      <w:r>
        <w:rPr>
          <w:rFonts w:ascii="仿宋_GB2312" w:hAnsi="仿宋_GB2312" w:cs="仿宋_GB2312"/>
          <w:color w:val="000000"/>
          <w:kern w:val="0"/>
          <w:sz w:val="28"/>
          <w:szCs w:val="28"/>
          <w:highlight w:val="none"/>
        </w:rPr>
        <w:t>三公</w:t>
      </w:r>
      <w:r>
        <w:rPr>
          <w:rFonts w:hint="eastAsia" w:ascii="仿宋_GB2312" w:hAnsi="仿宋_GB2312" w:cs="仿宋_GB2312"/>
          <w:color w:val="000000"/>
          <w:kern w:val="0"/>
          <w:sz w:val="28"/>
          <w:szCs w:val="28"/>
          <w:highlight w:val="none"/>
        </w:rPr>
        <w:t>”</w:t>
      </w:r>
      <w:r>
        <w:rPr>
          <w:rFonts w:ascii="仿宋_GB2312" w:hAnsi="仿宋_GB2312" w:cs="仿宋_GB2312"/>
          <w:color w:val="000000"/>
          <w:kern w:val="0"/>
          <w:sz w:val="28"/>
          <w:szCs w:val="28"/>
          <w:highlight w:val="none"/>
        </w:rPr>
        <w:t>经费支出决算情况说明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八</w:t>
      </w:r>
      <w:r>
        <w:rPr>
          <w:rFonts w:ascii="仿宋_GB2312" w:hAnsi="仿宋_GB2312" w:cs="仿宋_GB2312"/>
          <w:color w:val="000000"/>
          <w:kern w:val="0"/>
          <w:sz w:val="28"/>
          <w:szCs w:val="28"/>
          <w:highlight w:val="none"/>
        </w:rPr>
        <w:t>、</w:t>
      </w:r>
      <w:r>
        <w:rPr>
          <w:rFonts w:hint="eastAsia" w:ascii="仿宋_GB2312" w:hAnsi="仿宋_GB2312" w:cs="仿宋_GB2312"/>
          <w:color w:val="000000"/>
          <w:kern w:val="0"/>
          <w:sz w:val="28"/>
          <w:szCs w:val="28"/>
          <w:highlight w:val="none"/>
        </w:rPr>
        <w:t>政府性基金预算收入支出决算情况</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九</w:t>
      </w:r>
      <w:r>
        <w:rPr>
          <w:rFonts w:ascii="仿宋_GB2312" w:hAnsi="仿宋_GB2312" w:cs="仿宋_GB2312"/>
          <w:color w:val="000000"/>
          <w:kern w:val="0"/>
          <w:sz w:val="28"/>
          <w:szCs w:val="28"/>
          <w:highlight w:val="none"/>
        </w:rPr>
        <w:t>、</w:t>
      </w:r>
      <w:r>
        <w:rPr>
          <w:rFonts w:hint="eastAsia" w:ascii="仿宋_GB2312" w:hAnsi="仿宋_GB2312" w:cs="仿宋_GB2312"/>
          <w:color w:val="000000"/>
          <w:kern w:val="0"/>
          <w:sz w:val="28"/>
          <w:szCs w:val="28"/>
          <w:highlight w:val="none"/>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十、一般性支出情况说明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highlight w:val="none"/>
        </w:rPr>
      </w:pPr>
      <w:r>
        <w:rPr>
          <w:rFonts w:hint="eastAsia" w:ascii="仿宋_GB2312" w:hAnsi="仿宋_GB2312" w:cs="仿宋_GB2312"/>
          <w:color w:val="000000"/>
          <w:kern w:val="0"/>
          <w:sz w:val="28"/>
          <w:szCs w:val="28"/>
          <w:highlight w:val="none"/>
        </w:rPr>
        <w:t>十一、政府采购支出说明</w:t>
      </w:r>
    </w:p>
    <w:p>
      <w:pPr>
        <w:pStyle w:val="10"/>
        <w:spacing w:line="500" w:lineRule="exact"/>
        <w:ind w:firstLine="700" w:firstLineChars="250"/>
        <w:rPr>
          <w:rFonts w:ascii="仿宋_GB2312" w:hAnsi="仿宋_GB2312" w:cs="仿宋_GB2312" w:eastAsiaTheme="minorEastAsia"/>
          <w:sz w:val="28"/>
          <w:szCs w:val="28"/>
          <w:highlight w:val="none"/>
        </w:rPr>
      </w:pPr>
      <w:r>
        <w:rPr>
          <w:rFonts w:hint="eastAsia" w:ascii="仿宋_GB2312" w:hAnsi="仿宋_GB2312" w:cs="仿宋_GB2312" w:eastAsiaTheme="minorEastAsia"/>
          <w:sz w:val="28"/>
          <w:szCs w:val="28"/>
          <w:highlight w:val="none"/>
        </w:rPr>
        <w:t>十二、国有资产占用情况说明</w:t>
      </w:r>
    </w:p>
    <w:p>
      <w:pPr>
        <w:pStyle w:val="10"/>
        <w:spacing w:line="500" w:lineRule="exact"/>
        <w:ind w:firstLine="700" w:firstLineChars="250"/>
        <w:rPr>
          <w:rFonts w:ascii="仿宋_GB2312" w:hAnsi="仿宋_GB2312" w:cs="仿宋_GB2312" w:eastAsiaTheme="minorEastAsia"/>
          <w:sz w:val="28"/>
          <w:szCs w:val="28"/>
          <w:highlight w:val="none"/>
        </w:rPr>
      </w:pPr>
      <w:r>
        <w:rPr>
          <w:rFonts w:hint="eastAsia" w:ascii="仿宋_GB2312" w:hAnsi="仿宋_GB2312" w:cs="仿宋_GB2312" w:eastAsiaTheme="minorEastAsia"/>
          <w:sz w:val="28"/>
          <w:szCs w:val="28"/>
          <w:highlight w:val="none"/>
        </w:rPr>
        <w:t>十三、</w:t>
      </w:r>
      <w:r>
        <w:rPr>
          <w:rFonts w:hint="eastAsia" w:cs="仿宋_GB2312" w:asciiTheme="minorEastAsia" w:hAnsiTheme="minorEastAsia" w:eastAsiaTheme="minorEastAsia"/>
          <w:sz w:val="28"/>
          <w:szCs w:val="28"/>
          <w:highlight w:val="none"/>
        </w:rPr>
        <w:t>2021年</w:t>
      </w:r>
      <w:r>
        <w:rPr>
          <w:rFonts w:hint="eastAsia" w:ascii="仿宋_GB2312" w:hAnsi="仿宋_GB2312" w:cs="仿宋_GB2312" w:eastAsiaTheme="minorEastAsia"/>
          <w:sz w:val="28"/>
          <w:szCs w:val="28"/>
          <w:highlight w:val="none"/>
        </w:rPr>
        <w:t>度预算绩效情况说明</w:t>
      </w:r>
    </w:p>
    <w:p>
      <w:pPr>
        <w:autoSpaceDE w:val="0"/>
        <w:autoSpaceDN w:val="0"/>
        <w:adjustRightInd w:val="0"/>
        <w:spacing w:line="500" w:lineRule="exact"/>
        <w:jc w:val="left"/>
        <w:rPr>
          <w:rFonts w:ascii="黑体" w:hAnsi="黑体" w:eastAsia="黑体" w:cs="黑体"/>
          <w:b/>
          <w:color w:val="000000"/>
          <w:kern w:val="0"/>
          <w:sz w:val="28"/>
          <w:szCs w:val="28"/>
          <w:highlight w:val="none"/>
        </w:rPr>
      </w:pPr>
      <w:r>
        <w:rPr>
          <w:rFonts w:ascii="黑体" w:hAnsi="黑体" w:eastAsia="黑体" w:cs="黑体"/>
          <w:b/>
          <w:color w:val="000000"/>
          <w:kern w:val="0"/>
          <w:sz w:val="28"/>
          <w:szCs w:val="28"/>
          <w:highlight w:val="none"/>
        </w:rPr>
        <w:t>第四部分名词解释</w:t>
      </w:r>
    </w:p>
    <w:p>
      <w:pPr>
        <w:autoSpaceDE w:val="0"/>
        <w:autoSpaceDN w:val="0"/>
        <w:adjustRightInd w:val="0"/>
        <w:spacing w:line="500" w:lineRule="exact"/>
        <w:jc w:val="left"/>
        <w:rPr>
          <w:rFonts w:ascii="黑体" w:hAnsi="黑体" w:eastAsia="黑体" w:cs="仿宋_GB2312"/>
          <w:b/>
          <w:color w:val="000000"/>
          <w:kern w:val="0"/>
          <w:sz w:val="28"/>
          <w:szCs w:val="28"/>
          <w:highlight w:val="none"/>
        </w:rPr>
      </w:pPr>
      <w:r>
        <w:rPr>
          <w:rFonts w:hint="eastAsia" w:ascii="黑体" w:hAnsi="黑体" w:eastAsia="黑体" w:cs="黑体"/>
          <w:b/>
          <w:color w:val="000000"/>
          <w:kern w:val="0"/>
          <w:sz w:val="28"/>
          <w:szCs w:val="28"/>
          <w:highlight w:val="none"/>
        </w:rPr>
        <w:t>第五部分附件</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rPr>
          <w:sz w:val="72"/>
          <w:szCs w:val="72"/>
          <w:highlight w:val="none"/>
        </w:rPr>
      </w:pPr>
    </w:p>
    <w:p>
      <w:pPr>
        <w:pStyle w:val="10"/>
        <w:jc w:val="center"/>
        <w:rPr>
          <w:sz w:val="84"/>
          <w:szCs w:val="84"/>
          <w:highlight w:val="none"/>
        </w:rPr>
      </w:pPr>
      <w:r>
        <w:rPr>
          <w:rFonts w:hint="eastAsia"/>
          <w:sz w:val="84"/>
          <w:szCs w:val="84"/>
          <w:highlight w:val="none"/>
        </w:rPr>
        <w:t>第一部分</w:t>
      </w:r>
    </w:p>
    <w:p>
      <w:pPr>
        <w:pStyle w:val="10"/>
        <w:jc w:val="center"/>
        <w:rPr>
          <w:sz w:val="84"/>
          <w:szCs w:val="84"/>
          <w:highlight w:val="none"/>
        </w:rPr>
      </w:pPr>
    </w:p>
    <w:p>
      <w:pPr>
        <w:pStyle w:val="10"/>
        <w:jc w:val="center"/>
        <w:rPr>
          <w:sz w:val="84"/>
          <w:szCs w:val="84"/>
          <w:highlight w:val="none"/>
        </w:rPr>
      </w:pPr>
      <w:r>
        <w:rPr>
          <w:rFonts w:hint="eastAsia"/>
          <w:sz w:val="84"/>
          <w:szCs w:val="84"/>
          <w:highlight w:val="none"/>
          <w:lang w:eastAsia="zh-CN"/>
        </w:rPr>
        <w:t>谢林港镇</w:t>
      </w:r>
      <w:r>
        <w:rPr>
          <w:rFonts w:hint="eastAsia"/>
          <w:sz w:val="84"/>
          <w:szCs w:val="84"/>
          <w:highlight w:val="none"/>
        </w:rPr>
        <w:t>概况</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pStyle w:val="11"/>
        <w:ind w:left="720" w:firstLine="0" w:firstLineChars="0"/>
        <w:jc w:val="left"/>
        <w:rPr>
          <w:rFonts w:ascii="黑体" w:hAnsi="黑体" w:eastAsia="黑体"/>
          <w:sz w:val="32"/>
          <w:szCs w:val="32"/>
          <w:highlight w:val="none"/>
        </w:rPr>
      </w:pPr>
    </w:p>
    <w:p>
      <w:pPr>
        <w:pStyle w:val="11"/>
        <w:ind w:left="720" w:firstLine="0" w:firstLineChars="0"/>
        <w:jc w:val="left"/>
        <w:rPr>
          <w:rFonts w:ascii="黑体" w:hAnsi="黑体" w:eastAsia="黑体"/>
          <w:sz w:val="32"/>
          <w:szCs w:val="32"/>
          <w:highlight w:val="none"/>
        </w:rPr>
      </w:pPr>
    </w:p>
    <w:p>
      <w:pPr>
        <w:pStyle w:val="11"/>
        <w:ind w:left="720" w:firstLine="0" w:firstLineChars="0"/>
        <w:jc w:val="left"/>
        <w:rPr>
          <w:rFonts w:ascii="黑体" w:hAnsi="黑体" w:eastAsia="黑体"/>
          <w:sz w:val="32"/>
          <w:szCs w:val="32"/>
          <w:highlight w:val="none"/>
        </w:rPr>
      </w:pPr>
    </w:p>
    <w:p>
      <w:pPr>
        <w:pStyle w:val="11"/>
        <w:numPr>
          <w:ilvl w:val="0"/>
          <w:numId w:val="1"/>
        </w:numPr>
        <w:ind w:firstLineChars="0"/>
        <w:jc w:val="left"/>
        <w:rPr>
          <w:rFonts w:ascii="黑体" w:hAnsi="黑体" w:eastAsia="黑体"/>
          <w:sz w:val="32"/>
          <w:szCs w:val="32"/>
          <w:highlight w:val="none"/>
        </w:rPr>
      </w:pPr>
      <w:r>
        <w:rPr>
          <w:rFonts w:ascii="黑体" w:hAnsi="黑体" w:eastAsia="黑体"/>
          <w:sz w:val="32"/>
          <w:szCs w:val="32"/>
          <w:highlight w:val="none"/>
        </w:rPr>
        <w:t>部门职责</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lang w:eastAsia="zh-CN"/>
        </w:rPr>
      </w:pPr>
      <w:r>
        <w:rPr>
          <w:rFonts w:hint="eastAsia" w:asciiTheme="minorEastAsia" w:hAnsiTheme="minorEastAsia"/>
          <w:bCs/>
          <w:kern w:val="0"/>
          <w:sz w:val="32"/>
          <w:szCs w:val="32"/>
          <w:highlight w:val="none"/>
        </w:rPr>
        <w:t>根据上级文件，益阳市谢林港镇人民政府职能定位为：落实国家政策，严格依法行政，发挥经济管理职能，加强政策引导，制定发展规划，服务市场主体和营造发展环境，搞好市场监管，大力促进社会事业发展，发展镇村经济、文化和社会事业，提供公共服务，维护社会稳定，构建社会主义和谐社会。</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lang w:eastAsia="zh-CN"/>
        </w:rPr>
      </w:pPr>
      <w:r>
        <w:rPr>
          <w:rFonts w:hint="eastAsia" w:asciiTheme="minorEastAsia" w:hAnsiTheme="minorEastAsia"/>
          <w:bCs/>
          <w:kern w:val="0"/>
          <w:sz w:val="32"/>
          <w:szCs w:val="32"/>
          <w:highlight w:val="none"/>
        </w:rPr>
        <w:t>（一）执行本级人民代表大会的决议和上级国家行政机关的决定和命令，发布决定和命令；</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lang w:eastAsia="zh-CN"/>
        </w:rPr>
      </w:pPr>
      <w:r>
        <w:rPr>
          <w:rFonts w:hint="eastAsia" w:asciiTheme="minorEastAsia" w:hAnsiTheme="minorEastAsia"/>
          <w:bCs/>
          <w:kern w:val="0"/>
          <w:sz w:val="32"/>
          <w:szCs w:val="32"/>
          <w:highlight w:val="none"/>
        </w:rPr>
        <w:t>（二）执行本行政区域内的经济和社会发展计划、预算，管理本行政区域内的经济、教育、科学、文化、卫生、体育事业和财政、民政、公安、司法行政、计划生育等行政工作；</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lang w:eastAsia="zh-CN"/>
        </w:rPr>
      </w:pPr>
      <w:r>
        <w:rPr>
          <w:rFonts w:hint="eastAsia" w:asciiTheme="minorEastAsia" w:hAnsiTheme="minorEastAsia"/>
          <w:bCs/>
          <w:kern w:val="0"/>
          <w:sz w:val="32"/>
          <w:szCs w:val="32"/>
          <w:highlight w:val="none"/>
        </w:rPr>
        <w:t>（三）保护社会主义的全民所有的财产和劳动群众集体所有的财产，保护公民私人所有的合法财产，维护社会秩序，保障公民的人身权利、民主权利和其他权利；</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lang w:eastAsia="zh-CN"/>
        </w:rPr>
      </w:pPr>
      <w:r>
        <w:rPr>
          <w:rFonts w:hint="eastAsia" w:asciiTheme="minorEastAsia" w:hAnsiTheme="minorEastAsia"/>
          <w:bCs/>
          <w:kern w:val="0"/>
          <w:sz w:val="32"/>
          <w:szCs w:val="32"/>
          <w:highlight w:val="none"/>
        </w:rPr>
        <w:t>（四）保护各种经济组织的合法权益；</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lang w:eastAsia="zh-CN"/>
        </w:rPr>
      </w:pPr>
      <w:r>
        <w:rPr>
          <w:rFonts w:hint="eastAsia" w:asciiTheme="minorEastAsia" w:hAnsiTheme="minorEastAsia"/>
          <w:bCs/>
          <w:kern w:val="0"/>
          <w:sz w:val="32"/>
          <w:szCs w:val="32"/>
          <w:highlight w:val="none"/>
        </w:rPr>
        <w:t>（五）本辖区内的各项目建设的协调管理和服务工作</w:t>
      </w:r>
      <w:r>
        <w:rPr>
          <w:rFonts w:hint="eastAsia" w:asciiTheme="minorEastAsia" w:hAnsiTheme="minorEastAsia"/>
          <w:bCs/>
          <w:kern w:val="0"/>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rPr>
      </w:pPr>
      <w:r>
        <w:rPr>
          <w:rFonts w:hint="eastAsia" w:asciiTheme="minorEastAsia" w:hAnsiTheme="minorEastAsia"/>
          <w:bCs/>
          <w:kern w:val="0"/>
          <w:sz w:val="32"/>
          <w:szCs w:val="32"/>
          <w:highlight w:val="none"/>
        </w:rPr>
        <w:t>（六）办理上级行政主管单位交办的其他事项。</w:t>
      </w:r>
    </w:p>
    <w:p>
      <w:pPr>
        <w:pStyle w:val="2"/>
        <w:rPr>
          <w:rFonts w:hint="eastAsia"/>
          <w:highlight w:val="none"/>
        </w:rPr>
      </w:pPr>
    </w:p>
    <w:p>
      <w:pPr>
        <w:widowControl/>
        <w:spacing w:line="600" w:lineRule="exact"/>
        <w:rPr>
          <w:rFonts w:ascii="黑体" w:hAnsi="黑体" w:eastAsia="黑体"/>
          <w:bCs/>
          <w:kern w:val="0"/>
          <w:sz w:val="32"/>
          <w:szCs w:val="32"/>
          <w:highlight w:val="none"/>
        </w:rPr>
      </w:pPr>
      <w:r>
        <w:rPr>
          <w:rFonts w:hint="eastAsia" w:ascii="黑体" w:hAnsi="黑体" w:eastAsia="黑体"/>
          <w:bCs/>
          <w:kern w:val="0"/>
          <w:sz w:val="32"/>
          <w:szCs w:val="32"/>
          <w:highlight w:val="none"/>
        </w:rPr>
        <w:t>二、机构设置及决算单位构成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rPr>
      </w:pPr>
      <w:r>
        <w:rPr>
          <w:rFonts w:hint="eastAsia" w:asciiTheme="minorEastAsia" w:hAnsiTheme="minorEastAsia"/>
          <w:bCs/>
          <w:kern w:val="0"/>
          <w:sz w:val="32"/>
          <w:szCs w:val="32"/>
          <w:highlight w:val="none"/>
        </w:rPr>
        <w:t>（一）内设机构设置</w:t>
      </w:r>
    </w:p>
    <w:p>
      <w:pPr>
        <w:pStyle w:val="2"/>
        <w:keepNext w:val="0"/>
        <w:keepLines w:val="0"/>
        <w:pageBreakBefore w:val="0"/>
        <w:kinsoku/>
        <w:wordWrap/>
        <w:overflowPunct/>
        <w:topLinePunct w:val="0"/>
        <w:autoSpaceDE/>
        <w:autoSpaceDN/>
        <w:bidi w:val="0"/>
        <w:adjustRightInd/>
        <w:snapToGrid/>
        <w:ind w:firstLine="640" w:firstLineChars="200"/>
        <w:textAlignment w:val="auto"/>
        <w:rPr>
          <w:rFonts w:hint="eastAsia" w:asciiTheme="minorEastAsia" w:hAnsiTheme="minorEastAsia" w:eastAsiaTheme="minorEastAsia" w:cstheme="minorBidi"/>
          <w:bCs/>
          <w:kern w:val="0"/>
          <w:sz w:val="32"/>
          <w:szCs w:val="32"/>
          <w:highlight w:val="none"/>
          <w:lang w:val="en-US" w:eastAsia="zh-CN" w:bidi="ar-SA"/>
        </w:rPr>
      </w:pPr>
      <w:r>
        <w:rPr>
          <w:rFonts w:hint="eastAsia" w:asciiTheme="minorEastAsia" w:hAnsiTheme="minorEastAsia" w:eastAsiaTheme="minorEastAsia" w:cstheme="minorBidi"/>
          <w:bCs/>
          <w:kern w:val="0"/>
          <w:sz w:val="32"/>
          <w:szCs w:val="32"/>
          <w:highlight w:val="none"/>
          <w:lang w:val="en-US" w:eastAsia="zh-CN" w:bidi="ar-SA"/>
        </w:rPr>
        <w:t>根据上述职责，谢林港镇内设15个站、办、所。本年无变动。</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bCs/>
          <w:kern w:val="0"/>
          <w:sz w:val="32"/>
          <w:szCs w:val="32"/>
          <w:highlight w:val="none"/>
        </w:rPr>
      </w:pPr>
      <w:r>
        <w:rPr>
          <w:rFonts w:hint="eastAsia" w:asciiTheme="minorEastAsia" w:hAnsiTheme="minorEastAsia"/>
          <w:bCs/>
          <w:kern w:val="0"/>
          <w:sz w:val="32"/>
          <w:szCs w:val="32"/>
          <w:highlight w:val="none"/>
        </w:rPr>
        <w:t>（二）决算单位构成。</w:t>
      </w:r>
    </w:p>
    <w:p>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Theme="minorEastAsia" w:hAnsiTheme="minorEastAsia" w:eastAsiaTheme="minorEastAsia"/>
          <w:bCs/>
          <w:kern w:val="0"/>
          <w:sz w:val="32"/>
          <w:szCs w:val="32"/>
          <w:highlight w:val="none"/>
          <w:lang w:eastAsia="zh-CN"/>
        </w:rPr>
      </w:pPr>
      <w:r>
        <w:rPr>
          <w:rFonts w:hint="eastAsia" w:asciiTheme="minorEastAsia" w:hAnsiTheme="minorEastAsia"/>
          <w:bCs/>
          <w:kern w:val="0"/>
          <w:sz w:val="32"/>
          <w:szCs w:val="32"/>
          <w:highlight w:val="none"/>
          <w:lang w:eastAsia="zh-CN"/>
        </w:rPr>
        <w:t>谢林港镇</w:t>
      </w:r>
      <w:r>
        <w:rPr>
          <w:rFonts w:asciiTheme="minorEastAsia" w:hAnsiTheme="minorEastAsia"/>
          <w:bCs/>
          <w:kern w:val="0"/>
          <w:sz w:val="32"/>
          <w:szCs w:val="32"/>
          <w:highlight w:val="none"/>
        </w:rPr>
        <w:t>20</w:t>
      </w:r>
      <w:r>
        <w:rPr>
          <w:rFonts w:hint="eastAsia" w:asciiTheme="minorEastAsia" w:hAnsiTheme="minorEastAsia"/>
          <w:bCs/>
          <w:kern w:val="0"/>
          <w:sz w:val="32"/>
          <w:szCs w:val="32"/>
          <w:highlight w:val="none"/>
        </w:rPr>
        <w:t>21年部门决算汇总公开单位构成包括：</w:t>
      </w:r>
      <w:r>
        <w:rPr>
          <w:rFonts w:hint="eastAsia" w:asciiTheme="minorEastAsia" w:hAnsiTheme="minorEastAsia"/>
          <w:bCs/>
          <w:kern w:val="0"/>
          <w:sz w:val="32"/>
          <w:szCs w:val="32"/>
          <w:highlight w:val="none"/>
          <w:lang w:eastAsia="zh-CN"/>
        </w:rPr>
        <w:t>谢林港镇</w:t>
      </w:r>
      <w:r>
        <w:rPr>
          <w:rFonts w:hint="eastAsia" w:asciiTheme="minorEastAsia" w:hAnsiTheme="minorEastAsia"/>
          <w:bCs/>
          <w:kern w:val="0"/>
          <w:sz w:val="32"/>
          <w:szCs w:val="32"/>
          <w:highlight w:val="none"/>
        </w:rPr>
        <w:t>本级</w:t>
      </w:r>
      <w:r>
        <w:rPr>
          <w:rFonts w:hint="eastAsia" w:asciiTheme="minorEastAsia" w:hAnsiTheme="minorEastAsia"/>
          <w:bCs/>
          <w:kern w:val="0"/>
          <w:sz w:val="32"/>
          <w:szCs w:val="32"/>
          <w:highlight w:val="none"/>
          <w:lang w:eastAsia="zh-CN"/>
        </w:rPr>
        <w:t>。</w:t>
      </w:r>
    </w:p>
    <w:p>
      <w:pPr>
        <w:jc w:val="left"/>
        <w:rPr>
          <w:rFonts w:ascii="仿宋_GB2312" w:eastAsia="仿宋_GB2312" w:hAnsiTheme="minorEastAsia"/>
          <w:sz w:val="28"/>
          <w:szCs w:val="32"/>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rFonts w:ascii="黑体" w:hAnsi="黑体" w:eastAsia="黑体"/>
          <w:sz w:val="28"/>
          <w:szCs w:val="28"/>
          <w:highlight w:val="none"/>
        </w:rPr>
      </w:pPr>
    </w:p>
    <w:p>
      <w:pPr>
        <w:jc w:val="center"/>
        <w:rPr>
          <w:sz w:val="72"/>
          <w:szCs w:val="72"/>
          <w:highlight w:val="none"/>
        </w:rPr>
      </w:pPr>
      <w:r>
        <w:rPr>
          <w:rFonts w:hint="eastAsia"/>
          <w:sz w:val="72"/>
          <w:szCs w:val="72"/>
          <w:highlight w:val="none"/>
        </w:rPr>
        <w:t>第二部分</w:t>
      </w:r>
    </w:p>
    <w:p>
      <w:pPr>
        <w:jc w:val="center"/>
        <w:rPr>
          <w:sz w:val="72"/>
          <w:szCs w:val="72"/>
          <w:highlight w:val="none"/>
        </w:rPr>
      </w:pPr>
    </w:p>
    <w:p>
      <w:pPr>
        <w:jc w:val="center"/>
        <w:rPr>
          <w:sz w:val="72"/>
          <w:szCs w:val="72"/>
          <w:highlight w:val="none"/>
        </w:rPr>
      </w:pPr>
      <w:r>
        <w:rPr>
          <w:rFonts w:hint="eastAsia"/>
          <w:sz w:val="72"/>
          <w:szCs w:val="72"/>
          <w:highlight w:val="none"/>
        </w:rPr>
        <w:t>部门决算表</w:t>
      </w: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center"/>
        <w:rPr>
          <w:sz w:val="72"/>
          <w:szCs w:val="72"/>
          <w:highlight w:val="none"/>
        </w:rPr>
      </w:pPr>
    </w:p>
    <w:p>
      <w:pPr>
        <w:jc w:val="left"/>
        <w:rPr>
          <w:sz w:val="32"/>
          <w:szCs w:val="32"/>
          <w:highlight w:val="none"/>
        </w:rPr>
      </w:pPr>
    </w:p>
    <w:p>
      <w:pPr>
        <w:jc w:val="left"/>
        <w:rPr>
          <w:rFonts w:asciiTheme="minorEastAsia" w:hAnsiTheme="minorEastAsia"/>
          <w:sz w:val="32"/>
          <w:szCs w:val="32"/>
          <w:highlight w:val="none"/>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收入支出决算总表</w:t>
            </w:r>
          </w:p>
        </w:tc>
      </w:tr>
      <w:tr>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公开01表</w:t>
            </w:r>
          </w:p>
        </w:tc>
      </w:tr>
      <w:tr>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kern w:val="0"/>
                <w:sz w:val="20"/>
                <w:szCs w:val="20"/>
                <w:highlight w:val="none"/>
                <w:lang w:eastAsia="zh-CN"/>
              </w:rPr>
              <w:t>益阳市谢林港镇人民政府</w:t>
            </w:r>
          </w:p>
        </w:tc>
        <w:tc>
          <w:tcPr>
            <w:tcW w:w="697"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3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577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65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16"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支出</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决算数</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    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    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8507.03</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1995.92</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1307.04</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二、外交支出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三、国防支出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四、公共安全支出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18.84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五、事业收入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五、教育支出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rPr>
              <w:t>5</w:t>
            </w:r>
            <w:r>
              <w:rPr>
                <w:rFonts w:hint="eastAsia" w:ascii="宋体" w:hAnsi="宋体" w:eastAsia="宋体" w:cs="宋体"/>
                <w:kern w:val="0"/>
                <w:sz w:val="22"/>
                <w:highlight w:val="none"/>
                <w:lang w:val="en-US" w:eastAsia="zh-CN"/>
              </w:rPr>
              <w:t>.00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六、经营收入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六、科学技术支出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七、文化旅游体育与传媒支出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9.23</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八、其他收入</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371.79</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八、社会保障和就业支出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388.19</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highlight w:val="none"/>
              </w:rPr>
            </w:pPr>
            <w:r>
              <w:rPr>
                <w:rFonts w:hint="eastAsia" w:ascii="宋体" w:hAnsi="宋体" w:eastAsia="宋体" w:cs="宋体"/>
                <w:kern w:val="0"/>
                <w:sz w:val="21"/>
                <w:szCs w:val="21"/>
                <w:highlight w:val="none"/>
              </w:rPr>
              <w:t>九、卫生健康支出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highlight w:val="none"/>
              </w:rPr>
            </w:pPr>
            <w:r>
              <w:rPr>
                <w:rFonts w:hint="eastAsia" w:ascii="宋体" w:hAnsi="宋体" w:eastAsia="宋体" w:cs="宋体"/>
                <w:b/>
                <w:bCs/>
                <w:kern w:val="0"/>
                <w:sz w:val="22"/>
                <w:highlight w:val="none"/>
              </w:rPr>
              <w:t>　</w:t>
            </w:r>
            <w:r>
              <w:rPr>
                <w:rFonts w:hint="eastAsia" w:ascii="宋体" w:hAnsi="宋体" w:eastAsia="宋体" w:cs="宋体"/>
                <w:b w:val="0"/>
                <w:bCs w:val="0"/>
                <w:kern w:val="0"/>
                <w:sz w:val="22"/>
                <w:highlight w:val="none"/>
              </w:rPr>
              <w:t>190.36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十、节能环保支出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r>
              <w:rPr>
                <w:rFonts w:hint="eastAsia" w:ascii="宋体" w:hAnsi="宋体" w:eastAsia="宋体" w:cs="宋体"/>
                <w:b w:val="0"/>
                <w:bCs w:val="0"/>
                <w:kern w:val="0"/>
                <w:sz w:val="22"/>
                <w:highlight w:val="none"/>
              </w:rPr>
              <w:t>1107.71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十一、城乡社区支出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r>
              <w:rPr>
                <w:rFonts w:hint="eastAsia" w:ascii="宋体" w:hAnsi="宋体" w:eastAsia="宋体" w:cs="宋体"/>
                <w:b w:val="0"/>
                <w:bCs w:val="0"/>
                <w:kern w:val="0"/>
                <w:sz w:val="22"/>
                <w:highlight w:val="none"/>
              </w:rPr>
              <w:t>1662.21</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十二、农林水支出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r>
              <w:rPr>
                <w:rFonts w:hint="eastAsia" w:ascii="宋体" w:hAnsi="宋体" w:eastAsia="宋体" w:cs="宋体"/>
                <w:b w:val="0"/>
                <w:bCs w:val="0"/>
                <w:kern w:val="0"/>
                <w:sz w:val="22"/>
                <w:highlight w:val="none"/>
              </w:rPr>
              <w:t>4530.36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十三、交通运输支出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十四、资源勘探工业信息等支出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十六、金融支出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十七、援助其他地区支出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十八、自然资源海洋气象等支出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highlight w:val="none"/>
                <w:lang w:val="en-US" w:eastAsia="zh-CN"/>
              </w:rPr>
            </w:pPr>
            <w:r>
              <w:rPr>
                <w:rFonts w:hint="eastAsia" w:ascii="宋体" w:hAnsi="宋体" w:eastAsia="宋体" w:cs="宋体"/>
                <w:b w:val="0"/>
                <w:bCs w:val="0"/>
                <w:kern w:val="0"/>
                <w:sz w:val="22"/>
                <w:highlight w:val="none"/>
                <w:lang w:val="en-US" w:eastAsia="zh-CN"/>
              </w:rPr>
              <w:t>35.00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十九、住房保障支出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49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r>
              <w:rPr>
                <w:rFonts w:hint="eastAsia" w:ascii="宋体" w:hAnsi="宋体" w:eastAsia="宋体" w:cs="宋体"/>
                <w:b w:val="0"/>
                <w:bCs w:val="0"/>
                <w:kern w:val="0"/>
                <w:sz w:val="22"/>
                <w:highlight w:val="none"/>
              </w:rPr>
              <w:t>128.24</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20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二十、粮油物资储备支出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21</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二十一、国有资本经营预算支出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51</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22</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二十二、灾害防治及应急管理支出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52</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r>
              <w:rPr>
                <w:rFonts w:hint="eastAsia" w:ascii="宋体" w:hAnsi="宋体" w:eastAsia="宋体" w:cs="宋体"/>
                <w:b w:val="0"/>
                <w:bCs w:val="0"/>
                <w:kern w:val="0"/>
                <w:sz w:val="22"/>
                <w:highlight w:val="none"/>
              </w:rPr>
              <w:t>39.95</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23</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二十三、其他支出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53</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r>
              <w:rPr>
                <w:rFonts w:hint="eastAsia" w:ascii="宋体" w:hAnsi="宋体" w:eastAsia="宋体" w:cs="宋体"/>
                <w:b w:val="0"/>
                <w:bCs w:val="0"/>
                <w:kern w:val="0"/>
                <w:sz w:val="22"/>
                <w:highlight w:val="none"/>
              </w:rPr>
              <w:t>69.87</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24</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二十四、债务还本支出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54</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25</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二十五、债务付息支出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55</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b w:val="0"/>
                <w:bCs w:val="0"/>
                <w:kern w:val="0"/>
                <w:sz w:val="22"/>
                <w:highlight w:val="none"/>
              </w:rPr>
            </w:pP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rPr>
            </w:pP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26</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二十六、抗疫特别国债安排的支出</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56</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b w:val="0"/>
                <w:bCs w:val="0"/>
                <w:kern w:val="0"/>
                <w:sz w:val="22"/>
                <w:highlight w:val="none"/>
                <w:lang w:val="en-US" w:eastAsia="zh-CN"/>
              </w:rPr>
            </w:pPr>
            <w:r>
              <w:rPr>
                <w:rFonts w:hint="eastAsia" w:ascii="宋体" w:hAnsi="宋体" w:eastAsia="宋体" w:cs="宋体"/>
                <w:b w:val="0"/>
                <w:bCs w:val="0"/>
                <w:kern w:val="0"/>
                <w:sz w:val="22"/>
                <w:highlight w:val="none"/>
                <w:lang w:val="en-US" w:eastAsia="zh-CN"/>
              </w:rPr>
              <w:t>5.00</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27</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10185.86</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57</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10185.86</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28</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58</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29</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798"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59</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总计</w:t>
            </w:r>
          </w:p>
        </w:tc>
        <w:tc>
          <w:tcPr>
            <w:tcW w:w="449"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30</w:t>
            </w:r>
          </w:p>
        </w:tc>
        <w:tc>
          <w:tcPr>
            <w:tcW w:w="1230" w:type="dxa"/>
            <w:gridSpan w:val="2"/>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10185.86</w:t>
            </w:r>
          </w:p>
        </w:tc>
        <w:tc>
          <w:tcPr>
            <w:tcW w:w="3798" w:type="dxa"/>
            <w:gridSpan w:val="3"/>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b/>
                <w:bCs/>
                <w:kern w:val="0"/>
                <w:sz w:val="22"/>
                <w:highlight w:val="none"/>
              </w:rPr>
            </w:pPr>
            <w:r>
              <w:rPr>
                <w:rFonts w:hint="eastAsia" w:ascii="宋体" w:hAnsi="宋体" w:eastAsia="宋体" w:cs="宋体"/>
                <w:b/>
                <w:bCs/>
                <w:kern w:val="0"/>
                <w:sz w:val="22"/>
                <w:highlight w:val="none"/>
              </w:rPr>
              <w:t>总计</w:t>
            </w:r>
          </w:p>
        </w:tc>
        <w:tc>
          <w:tcPr>
            <w:tcW w:w="845"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60</w:t>
            </w:r>
          </w:p>
        </w:tc>
        <w:tc>
          <w:tcPr>
            <w:tcW w:w="3633" w:type="dxa"/>
            <w:gridSpan w:val="3"/>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b/>
                <w:bCs/>
                <w:kern w:val="0"/>
                <w:sz w:val="22"/>
                <w:highlight w:val="none"/>
              </w:rPr>
            </w:pPr>
            <w:r>
              <w:rPr>
                <w:rFonts w:hint="eastAsia" w:ascii="宋体" w:hAnsi="宋体" w:eastAsia="宋体" w:cs="宋体"/>
                <w:b w:val="0"/>
                <w:bCs w:val="0"/>
                <w:kern w:val="0"/>
                <w:sz w:val="22"/>
                <w:highlight w:val="none"/>
              </w:rPr>
              <w:t>　10185.86</w:t>
            </w:r>
          </w:p>
        </w:tc>
      </w:tr>
      <w:tr>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注：1.本表反映部门本年度的总收支和年末结转结余情况。</w:t>
            </w:r>
            <w:r>
              <w:rPr>
                <w:rFonts w:hint="eastAsia" w:ascii="宋体" w:hAnsi="宋体" w:eastAsia="宋体" w:cs="宋体"/>
                <w:kern w:val="0"/>
                <w:sz w:val="24"/>
                <w:szCs w:val="24"/>
                <w:highlight w:val="none"/>
              </w:rPr>
              <w:br w:type="textWrapping"/>
            </w:r>
            <w:r>
              <w:rPr>
                <w:rFonts w:hint="eastAsia" w:ascii="宋体" w:hAnsi="宋体" w:eastAsia="宋体" w:cs="宋体"/>
                <w:kern w:val="0"/>
                <w:sz w:val="24"/>
                <w:szCs w:val="24"/>
                <w:highlight w:val="none"/>
              </w:rPr>
              <w:t xml:space="preserve"> 2.本套报表金额单位转换时可能存在尾数误差。</w:t>
            </w:r>
          </w:p>
        </w:tc>
      </w:tr>
    </w:tbl>
    <w:p>
      <w:pPr>
        <w:jc w:val="center"/>
        <w:rPr>
          <w:rFonts w:ascii="黑体" w:hAnsi="黑体" w:eastAsia="黑体"/>
          <w:sz w:val="28"/>
          <w:szCs w:val="28"/>
          <w:highlight w:val="none"/>
        </w:rPr>
        <w:sectPr>
          <w:pgSz w:w="16838" w:h="11906" w:orient="landscape"/>
          <w:pgMar w:top="1797" w:right="1440" w:bottom="1797" w:left="1440" w:header="851" w:footer="992" w:gutter="0"/>
          <w:cols w:space="425" w:num="1"/>
          <w:docGrid w:type="linesAndChars" w:linePitch="312" w:charSpace="0"/>
        </w:sectPr>
      </w:pPr>
    </w:p>
    <w:tbl>
      <w:tblPr>
        <w:tblStyle w:val="6"/>
        <w:tblW w:w="15428" w:type="dxa"/>
        <w:tblInd w:w="0" w:type="dxa"/>
        <w:tblLayout w:type="fixed"/>
        <w:tblCellMar>
          <w:top w:w="0" w:type="dxa"/>
          <w:left w:w="0" w:type="dxa"/>
          <w:bottom w:w="0" w:type="dxa"/>
          <w:right w:w="0" w:type="dxa"/>
        </w:tblCellMar>
      </w:tblPr>
      <w:tblGrid>
        <w:gridCol w:w="39"/>
        <w:gridCol w:w="1310"/>
        <w:gridCol w:w="5008"/>
        <w:gridCol w:w="1599"/>
        <w:gridCol w:w="1516"/>
        <w:gridCol w:w="1334"/>
        <w:gridCol w:w="966"/>
        <w:gridCol w:w="917"/>
        <w:gridCol w:w="1767"/>
        <w:gridCol w:w="972"/>
      </w:tblGrid>
      <w:tr>
        <w:tblPrEx>
          <w:tblCellMar>
            <w:top w:w="0" w:type="dxa"/>
            <w:left w:w="0" w:type="dxa"/>
            <w:bottom w:w="0" w:type="dxa"/>
            <w:right w:w="0" w:type="dxa"/>
          </w:tblCellMar>
        </w:tblPrEx>
        <w:trPr>
          <w:trHeight w:val="435" w:hRule="atLeast"/>
        </w:trPr>
        <w:tc>
          <w:tcPr>
            <w:tcW w:w="15428" w:type="dxa"/>
            <w:gridSpan w:val="10"/>
            <w:tcBorders>
              <w:top w:val="nil"/>
              <w:left w:val="nil"/>
              <w:bottom w:val="nil"/>
              <w:right w:val="nil"/>
            </w:tcBorders>
            <w:shd w:val="clear" w:color="auto" w:fill="auto"/>
            <w:noWrap/>
            <w:tcMar>
              <w:top w:w="15" w:type="dxa"/>
              <w:left w:w="15" w:type="dxa"/>
              <w:bottom w:w="0" w:type="dxa"/>
              <w:right w:w="15" w:type="dxa"/>
            </w:tcMar>
            <w:vAlign w:val="center"/>
          </w:tcPr>
          <w:p>
            <w:pPr>
              <w:jc w:val="center"/>
              <w:rPr>
                <w:rFonts w:ascii="华文中宋" w:hAnsi="华文中宋" w:eastAsia="华文中宋" w:cs="宋体"/>
                <w:color w:val="000000"/>
                <w:sz w:val="32"/>
                <w:szCs w:val="32"/>
                <w:highlight w:val="none"/>
              </w:rPr>
            </w:pPr>
            <w:r>
              <w:rPr>
                <w:rFonts w:hint="eastAsia" w:ascii="华文中宋" w:hAnsi="华文中宋" w:eastAsia="华文中宋"/>
                <w:color w:val="000000"/>
                <w:sz w:val="32"/>
                <w:szCs w:val="32"/>
                <w:highlight w:val="none"/>
              </w:rPr>
              <w:t>收入决算表</w:t>
            </w:r>
          </w:p>
        </w:tc>
      </w:tr>
      <w:tr>
        <w:tblPrEx>
          <w:tblCellMar>
            <w:top w:w="0" w:type="dxa"/>
            <w:left w:w="0" w:type="dxa"/>
            <w:bottom w:w="0" w:type="dxa"/>
            <w:right w:w="0" w:type="dxa"/>
          </w:tblCellMar>
        </w:tblPrEx>
        <w:trPr>
          <w:trHeight w:val="285" w:hRule="atLeast"/>
        </w:trPr>
        <w:tc>
          <w:tcPr>
            <w:tcW w:w="3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310"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5008"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599"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334"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9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9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6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97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highlight w:val="none"/>
              </w:rPr>
            </w:pPr>
            <w:r>
              <w:rPr>
                <w:rFonts w:hint="eastAsia"/>
                <w:color w:val="000000"/>
                <w:sz w:val="20"/>
                <w:szCs w:val="20"/>
                <w:highlight w:val="none"/>
              </w:rPr>
              <w:t>公开02表</w:t>
            </w:r>
          </w:p>
        </w:tc>
      </w:tr>
      <w:tr>
        <w:trPr>
          <w:trHeight w:val="339" w:hRule="atLeast"/>
        </w:trPr>
        <w:tc>
          <w:tcPr>
            <w:tcW w:w="1349"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rPr>
                <w:rFonts w:ascii="宋体" w:hAnsi="宋体" w:eastAsia="宋体" w:cs="宋体"/>
                <w:color w:val="000000"/>
                <w:sz w:val="20"/>
                <w:szCs w:val="20"/>
                <w:highlight w:val="none"/>
              </w:rPr>
            </w:pPr>
            <w:r>
              <w:rPr>
                <w:rFonts w:hint="eastAsia"/>
                <w:color w:val="000000"/>
                <w:sz w:val="20"/>
                <w:szCs w:val="20"/>
                <w:highlight w:val="none"/>
              </w:rPr>
              <w:t>部门：</w:t>
            </w:r>
          </w:p>
        </w:tc>
        <w:tc>
          <w:tcPr>
            <w:tcW w:w="6607" w:type="dxa"/>
            <w:gridSpan w:val="2"/>
            <w:tcBorders>
              <w:top w:val="nil"/>
              <w:left w:val="nil"/>
              <w:bottom w:val="nil"/>
              <w:right w:val="nil"/>
            </w:tcBorders>
            <w:shd w:val="clear" w:color="000000" w:fill="FFFFFF"/>
            <w:noWrap/>
            <w:tcMar>
              <w:top w:w="15" w:type="dxa"/>
              <w:left w:w="15" w:type="dxa"/>
              <w:bottom w:w="0" w:type="dxa"/>
              <w:right w:w="15" w:type="dxa"/>
            </w:tcMar>
            <w:vAlign w:val="center"/>
          </w:tcPr>
          <w:p>
            <w:pPr>
              <w:jc w:val="left"/>
              <w:rPr>
                <w:rFonts w:ascii="宋体" w:hAnsi="宋体" w:eastAsia="宋体" w:cs="宋体"/>
                <w:sz w:val="24"/>
                <w:szCs w:val="24"/>
                <w:highlight w:val="none"/>
              </w:rPr>
            </w:pPr>
            <w:r>
              <w:rPr>
                <w:rFonts w:hint="eastAsia" w:ascii="宋体" w:hAnsi="宋体" w:eastAsia="宋体" w:cs="宋体"/>
                <w:color w:val="000000"/>
                <w:kern w:val="0"/>
                <w:sz w:val="20"/>
                <w:szCs w:val="20"/>
                <w:highlight w:val="none"/>
                <w:lang w:eastAsia="zh-CN"/>
              </w:rPr>
              <w:t>益阳市谢林港镇人民政府</w:t>
            </w:r>
            <w:r>
              <w:rPr>
                <w:rFonts w:hint="eastAsia"/>
                <w:highlight w:val="none"/>
              </w:rPr>
              <w:t>　</w:t>
            </w:r>
          </w:p>
        </w:tc>
        <w:tc>
          <w:tcPr>
            <w:tcW w:w="151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334" w:type="dxa"/>
            <w:tcBorders>
              <w:top w:val="nil"/>
              <w:left w:val="nil"/>
              <w:bottom w:val="nil"/>
              <w:right w:val="nil"/>
            </w:tcBorders>
            <w:shd w:val="clear" w:color="000000" w:fill="FFFFFF"/>
            <w:noWrap/>
            <w:tcMar>
              <w:top w:w="15" w:type="dxa"/>
              <w:left w:w="15" w:type="dxa"/>
              <w:bottom w:w="0" w:type="dxa"/>
              <w:right w:w="15" w:type="dxa"/>
            </w:tcMar>
            <w:vAlign w:val="center"/>
          </w:tcPr>
          <w:p>
            <w:pPr>
              <w:jc w:val="center"/>
              <w:rPr>
                <w:rFonts w:ascii="宋体" w:hAnsi="宋体" w:eastAsia="宋体" w:cs="宋体"/>
                <w:color w:val="000000"/>
                <w:sz w:val="20"/>
                <w:szCs w:val="20"/>
                <w:highlight w:val="none"/>
              </w:rPr>
            </w:pPr>
            <w:r>
              <w:rPr>
                <w:rFonts w:hint="eastAsia"/>
                <w:color w:val="000000"/>
                <w:sz w:val="20"/>
                <w:szCs w:val="20"/>
                <w:highlight w:val="none"/>
              </w:rPr>
              <w:t>　</w:t>
            </w:r>
          </w:p>
        </w:tc>
        <w:tc>
          <w:tcPr>
            <w:tcW w:w="966"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91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1767"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sz w:val="24"/>
                <w:szCs w:val="24"/>
                <w:highlight w:val="none"/>
              </w:rPr>
            </w:pPr>
            <w:r>
              <w:rPr>
                <w:rFonts w:hint="eastAsia"/>
                <w:highlight w:val="none"/>
              </w:rPr>
              <w:t>　</w:t>
            </w:r>
          </w:p>
        </w:tc>
        <w:tc>
          <w:tcPr>
            <w:tcW w:w="972" w:type="dxa"/>
            <w:tcBorders>
              <w:top w:val="nil"/>
              <w:left w:val="nil"/>
              <w:bottom w:val="nil"/>
              <w:right w:val="nil"/>
            </w:tcBorders>
            <w:shd w:val="clear" w:color="000000" w:fill="FFFFFF"/>
            <w:noWrap/>
            <w:tcMar>
              <w:top w:w="15" w:type="dxa"/>
              <w:left w:w="15" w:type="dxa"/>
              <w:bottom w:w="0" w:type="dxa"/>
              <w:right w:w="15" w:type="dxa"/>
            </w:tcMar>
            <w:vAlign w:val="center"/>
          </w:tcPr>
          <w:p>
            <w:pPr>
              <w:jc w:val="right"/>
              <w:rPr>
                <w:rFonts w:ascii="宋体" w:hAnsi="宋体" w:eastAsia="宋体" w:cs="宋体"/>
                <w:color w:val="000000"/>
                <w:sz w:val="20"/>
                <w:szCs w:val="20"/>
                <w:highlight w:val="none"/>
              </w:rPr>
            </w:pPr>
            <w:r>
              <w:rPr>
                <w:rFonts w:hint="eastAsia"/>
                <w:color w:val="000000"/>
                <w:sz w:val="20"/>
                <w:szCs w:val="20"/>
                <w:highlight w:val="none"/>
              </w:rPr>
              <w:t>单位：万元</w:t>
            </w:r>
          </w:p>
        </w:tc>
      </w:tr>
      <w:tr>
        <w:tblPrEx>
          <w:tblCellMar>
            <w:top w:w="0" w:type="dxa"/>
            <w:left w:w="0" w:type="dxa"/>
            <w:bottom w:w="0" w:type="dxa"/>
            <w:right w:w="0" w:type="dxa"/>
          </w:tblCellMar>
        </w:tblPrEx>
        <w:trPr>
          <w:trHeight w:val="450" w:hRule="atLeast"/>
        </w:trPr>
        <w:tc>
          <w:tcPr>
            <w:tcW w:w="6357" w:type="dxa"/>
            <w:gridSpan w:val="3"/>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项    目</w:t>
            </w:r>
          </w:p>
        </w:tc>
        <w:tc>
          <w:tcPr>
            <w:tcW w:w="1599"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本年收入合计</w:t>
            </w:r>
          </w:p>
        </w:tc>
        <w:tc>
          <w:tcPr>
            <w:tcW w:w="1516"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财政拨款收入</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上级补助收入</w:t>
            </w:r>
          </w:p>
        </w:tc>
        <w:tc>
          <w:tcPr>
            <w:tcW w:w="966"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事业收入</w:t>
            </w:r>
          </w:p>
        </w:tc>
        <w:tc>
          <w:tcPr>
            <w:tcW w:w="91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经营收入</w:t>
            </w:r>
          </w:p>
        </w:tc>
        <w:tc>
          <w:tcPr>
            <w:tcW w:w="176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附属单位上缴收入</w:t>
            </w:r>
          </w:p>
        </w:tc>
        <w:tc>
          <w:tcPr>
            <w:tcW w:w="972"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其他收入</w:t>
            </w:r>
          </w:p>
        </w:tc>
      </w:tr>
      <w:tr>
        <w:trPr>
          <w:trHeight w:val="450" w:hRule="atLeast"/>
        </w:trPr>
        <w:tc>
          <w:tcPr>
            <w:tcW w:w="134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功能分类科目编码</w:t>
            </w:r>
          </w:p>
        </w:tc>
        <w:tc>
          <w:tcPr>
            <w:tcW w:w="5008" w:type="dxa"/>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科目名称</w:t>
            </w:r>
          </w:p>
        </w:tc>
        <w:tc>
          <w:tcPr>
            <w:tcW w:w="15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r>
      <w:tr>
        <w:tblPrEx>
          <w:tblCellMar>
            <w:top w:w="0" w:type="dxa"/>
            <w:left w:w="0" w:type="dxa"/>
            <w:bottom w:w="0" w:type="dxa"/>
            <w:right w:w="0" w:type="dxa"/>
          </w:tblCellMar>
        </w:tblPrEx>
        <w:trPr>
          <w:trHeight w:val="450" w:hRule="atLeast"/>
        </w:trPr>
        <w:tc>
          <w:tcPr>
            <w:tcW w:w="1349" w:type="dxa"/>
            <w:gridSpan w:val="2"/>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5008" w:type="dxa"/>
            <w:vMerge w:val="continue"/>
            <w:tcBorders>
              <w:top w:val="nil"/>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599"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51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966"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91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1767"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c>
          <w:tcPr>
            <w:tcW w:w="972" w:type="dxa"/>
            <w:vMerge w:val="continue"/>
            <w:tcBorders>
              <w:top w:val="single" w:color="auto" w:sz="4" w:space="0"/>
              <w:left w:val="single" w:color="auto" w:sz="4" w:space="0"/>
              <w:bottom w:val="single" w:color="auto" w:sz="4" w:space="0"/>
              <w:right w:val="single" w:color="auto" w:sz="4" w:space="0"/>
            </w:tcBorders>
            <w:vAlign w:val="center"/>
          </w:tcPr>
          <w:p>
            <w:pPr>
              <w:rPr>
                <w:rFonts w:ascii="宋体" w:hAnsi="宋体" w:eastAsia="宋体" w:cs="宋体"/>
                <w:sz w:val="24"/>
                <w:szCs w:val="24"/>
                <w:highlight w:val="none"/>
              </w:rPr>
            </w:pPr>
          </w:p>
        </w:tc>
      </w:tr>
      <w:tr>
        <w:trPr>
          <w:trHeight w:val="450" w:hRule="atLeast"/>
        </w:trPr>
        <w:tc>
          <w:tcPr>
            <w:tcW w:w="635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栏次</w:t>
            </w:r>
          </w:p>
        </w:tc>
        <w:tc>
          <w:tcPr>
            <w:tcW w:w="1599"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1</w:t>
            </w:r>
          </w:p>
        </w:tc>
        <w:tc>
          <w:tcPr>
            <w:tcW w:w="151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2</w:t>
            </w:r>
          </w:p>
        </w:tc>
        <w:tc>
          <w:tcPr>
            <w:tcW w:w="1334"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3</w:t>
            </w:r>
          </w:p>
        </w:tc>
        <w:tc>
          <w:tcPr>
            <w:tcW w:w="966"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4</w:t>
            </w:r>
          </w:p>
        </w:tc>
        <w:tc>
          <w:tcPr>
            <w:tcW w:w="91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5</w:t>
            </w:r>
          </w:p>
        </w:tc>
        <w:tc>
          <w:tcPr>
            <w:tcW w:w="1767"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6</w:t>
            </w:r>
          </w:p>
        </w:tc>
        <w:tc>
          <w:tcPr>
            <w:tcW w:w="972"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7</w:t>
            </w:r>
          </w:p>
        </w:tc>
      </w:tr>
      <w:tr>
        <w:tblPrEx>
          <w:tblCellMar>
            <w:top w:w="0" w:type="dxa"/>
            <w:left w:w="0" w:type="dxa"/>
            <w:bottom w:w="0" w:type="dxa"/>
            <w:right w:w="0" w:type="dxa"/>
          </w:tblCellMar>
        </w:tblPrEx>
        <w:trPr>
          <w:trHeight w:val="90" w:hRule="atLeast"/>
        </w:trPr>
        <w:tc>
          <w:tcPr>
            <w:tcW w:w="6357"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jc w:val="center"/>
              <w:rPr>
                <w:rFonts w:ascii="宋体" w:hAnsi="宋体" w:eastAsia="宋体" w:cs="宋体"/>
                <w:sz w:val="24"/>
                <w:szCs w:val="24"/>
                <w:highlight w:val="none"/>
              </w:rPr>
            </w:pPr>
            <w:r>
              <w:rPr>
                <w:rFonts w:hint="eastAsia"/>
                <w:highlight w:val="none"/>
              </w:rPr>
              <w:t>合计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10185.86</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9814.07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371.79　</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一般公共服务支出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1995.92</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1995.92</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highlight w:val="none"/>
              </w:rPr>
              <w:t>20103</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政府办公厅（室）及相关机构事务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1883.27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1883.27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highlight w:val="none"/>
              </w:rPr>
              <w:t>2010301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highlight w:val="none"/>
              </w:rPr>
              <w:t xml:space="preserve">  行政运行</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1725.06</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1725.06</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2010303</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 xml:space="preserve">  机关服务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51.74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51.74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2010306</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 xml:space="preserve">  政务公开审批</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2010308</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ascii="宋体" w:hAnsi="宋体" w:eastAsia="宋体" w:cs="宋体"/>
                <w:sz w:val="24"/>
                <w:szCs w:val="24"/>
                <w:highlight w:val="none"/>
              </w:rPr>
            </w:pPr>
            <w:r>
              <w:rPr>
                <w:rFonts w:hint="eastAsia" w:ascii="宋体" w:hAnsi="宋体" w:eastAsia="宋体" w:cs="宋体"/>
                <w:sz w:val="24"/>
                <w:szCs w:val="24"/>
                <w:highlight w:val="none"/>
              </w:rPr>
              <w:t xml:space="preserve">  信访事务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56.55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56.55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　</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2010399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其他政府办公厅（室）及相关机构事务支出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39.92</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39.92</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20104</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发展与改革事务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2010499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其他发展与改革事务支出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20105</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统计信息事务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2010505</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专项统计业务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20129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群众团体事务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2012999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其他群众团体事务支出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6.31</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20132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组织事务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2013299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其他组织事务支出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2.34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20134</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统战事务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2013499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其他统战事务支出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20136</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其他共产党事务支出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72.95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72.95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2013602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一般行政管理事务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1.42</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1.42</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2013699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其他共产党事务支出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71.53</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71.53</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20199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其他一般公共服务支出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2019999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其他一般公共服务支出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公共安全支出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18.84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18.84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公安</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2040299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其他公安支出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20408</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强制隔离戒毒</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2040802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一般行政管理事务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其他公共安全支出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2049999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其他公共安全支出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6.40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教育支出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教育管理事务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2050199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其他教育管理事务支出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其他教育支出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2059999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其他教育支出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文化旅游体育与传媒支出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9.23</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9.23</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文化和旅游</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2.98</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2.98</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2070199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其他文化和旅游支出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2.98</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2.98</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其他文化旅游体育与传媒支出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6.25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2079902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宣传文化发展专项支出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1.30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2079999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其他文化旅游体育与传媒支出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社会保障和就业支出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388.19</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385.69</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0</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人力资源和社会保障管理事务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12.64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12.64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2080107</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社会保险业务管理事务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12.64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12.64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民政管理事务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43.84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43.84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2080208</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基层政权建设和社区治理</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21.00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2080299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其他民政管理事务支出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22.84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22.84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行政事业单位养老支出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205.32</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205.32</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行政单位离退休</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109.27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109.27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2080505</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机关事业单位基本养老保险缴费支出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76.84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76.84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2080506</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机关事业单位职业年金缴费支出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19.21</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19.21</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20807</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就业补助</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46.55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46.55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2080799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其他就业补助支出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46.55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46.55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20808</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抚恤</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33.64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33.64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2080899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其他优抚支出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33.64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33.64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退役安置</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其他退役安置支出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20819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最低生活保障</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29.55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29.55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2081901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城市最低生活保障金支出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26.90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26.90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2081902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农村最低生活保障金支出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20820</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临时救助</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8.75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8.75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2082001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临时救助支出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8.75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8.75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特困人员救助供养</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2082102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农村特困人员救助供养支出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其他社会保障和就业支出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0</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2089999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其他社会保障和就业支出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2.5</w:t>
            </w:r>
            <w:r>
              <w:rPr>
                <w:rFonts w:hint="eastAsia" w:ascii="宋体" w:hAnsi="宋体" w:eastAsia="宋体" w:cs="宋体"/>
                <w:sz w:val="24"/>
                <w:szCs w:val="24"/>
                <w:highlight w:val="none"/>
                <w:lang w:val="en-US" w:eastAsia="zh-CN"/>
              </w:rPr>
              <w:t>0</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卫生健康支出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190.36</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190.36</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21004</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公共卫生</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59.70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59.70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2100410</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突发公共卫生事件应急处理</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59.70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59.70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21007</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计划生育事务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2100717</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计划生育服务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行政事业单位医疗</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122.63</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122.63</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2101102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事业单位医疗</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81.46</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81.46</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2101103</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公务员医疗补助</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41.17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21015</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医疗保障管理事务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4.02</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4.02</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2101599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其他医疗保障管理事务支出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4.02</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4.02</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节能环保支出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1107.71</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1035.33</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72.38</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污染防治</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918.36</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845.98</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72.38</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ind w:firstLine="240" w:firstLineChars="100"/>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水体</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775.98</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775.98</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2110307</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土壤</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91.31</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18.93</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72.38</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其他污染防治支出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51.07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51.07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21104</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自然生态保护</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186.64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186.64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2110402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农村环境保护</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186.64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186.64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其他节能环保支出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2.71</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2.71</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2119999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其他节能环保支出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2.71</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2.71</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城乡社区支出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1662.21</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1455.21</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207</w:t>
            </w:r>
            <w:r>
              <w:rPr>
                <w:rFonts w:hint="eastAsia" w:ascii="宋体" w:hAnsi="宋体" w:eastAsia="宋体" w:cs="宋体"/>
                <w:sz w:val="24"/>
                <w:szCs w:val="24"/>
                <w:highlight w:val="none"/>
                <w:lang w:val="en-US" w:eastAsia="zh-CN"/>
              </w:rPr>
              <w:t>.00</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城乡社区管理事务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2120104</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城管执法</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60.00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21205</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城乡社区环境卫生</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2120501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城乡社区环境卫生</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21208</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国有土地使用权出让收入安排的支出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1152.04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1152.04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2120801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征地和拆迁补偿支出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58.95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58.95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2120803</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城市建设支出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799.09</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799.09</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2120804</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农村基础设施建设支出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240.00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2120899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其他国有土地使用权出让收入安排的支出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54.00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21213</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城市基础设施配套费安排的支出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2121301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城市公共设施</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150.00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其他城乡社区支出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258.17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51.17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207</w:t>
            </w:r>
            <w:r>
              <w:rPr>
                <w:rFonts w:hint="eastAsia" w:ascii="宋体" w:hAnsi="宋体" w:eastAsia="宋体" w:cs="宋体"/>
                <w:sz w:val="24"/>
                <w:szCs w:val="24"/>
                <w:highlight w:val="none"/>
                <w:lang w:val="en-US" w:eastAsia="zh-CN"/>
              </w:rPr>
              <w:t>.00</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2129999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其他城乡社区支出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258.17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51.17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207</w:t>
            </w:r>
            <w:r>
              <w:rPr>
                <w:rFonts w:hint="eastAsia" w:ascii="宋体" w:hAnsi="宋体" w:eastAsia="宋体" w:cs="宋体"/>
                <w:sz w:val="24"/>
                <w:szCs w:val="24"/>
                <w:highlight w:val="none"/>
                <w:lang w:val="en-US" w:eastAsia="zh-CN"/>
              </w:rPr>
              <w:t>.00</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农林水支出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4530.36</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4440.45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89.91</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农业农村</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460.72</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375.72</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85.00</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2130108</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病虫害控制</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2.28</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2.28</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2130119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防灾救灾</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4.99</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4.99</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2130122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农业生产发展</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42.28</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2.28</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40.00</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2130126</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农村社会事业</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305.17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305.17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其他农业农村支出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106.00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61.00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45.00</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21303</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水利</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10.55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10.55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2130316</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农村水利</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2130399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其他水利支出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9.27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21305</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扶贫</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244.42</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244.42</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2130599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其他扶贫支出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244.42</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244.42</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农村综合改革</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3685.81</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3685.81</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对村级公益事业建设的补助</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103.24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103.24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2130705</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对村民委员会和村党支部的补助</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431.85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431.85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其他农村综合改革支出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3150.72</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3150.72</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其他农林水支出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128.86</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123.95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4.91</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2139999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其他农林水支出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128.86</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123.95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4.91</w:t>
            </w: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220</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自然资源海洋气象等支出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22001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自然资源事务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2200199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其他自然资源事务支出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35.00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住房保障支出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128.24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128.24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住房改革支出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128.24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128.24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2210201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住房公积金</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128.24</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128.24</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灾害防治及应急管理支出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39.95</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39.95</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22401</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应急管理事务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29.98</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29.98</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2240106</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安全监管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2240199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其他应急管理支出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26.98</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26.98</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消防事务</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7.96</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7.96</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2240299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其他消防事务支出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7.96</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7.96</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22407</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自然灾害救灾及恢复重建支出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2240799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  其他自然灾害救灾及恢复重建支出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69.87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69.87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69.87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69.87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default"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2299999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其他支出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69.87</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69.87</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234</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抗疫特别国债安排的支出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23402</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抗疫相关支出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450" w:hRule="atLeast"/>
        </w:trPr>
        <w:tc>
          <w:tcPr>
            <w:tcW w:w="1349" w:type="dxa"/>
            <w:gridSpan w:val="2"/>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2340299</w:t>
            </w:r>
          </w:p>
        </w:tc>
        <w:tc>
          <w:tcPr>
            <w:tcW w:w="5008"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pPr>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其他抗疫相关支出</w:t>
            </w:r>
          </w:p>
        </w:tc>
        <w:tc>
          <w:tcPr>
            <w:tcW w:w="1599"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51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5.00</w:t>
            </w:r>
          </w:p>
        </w:tc>
        <w:tc>
          <w:tcPr>
            <w:tcW w:w="1334"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66"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1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1767"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c>
          <w:tcPr>
            <w:tcW w:w="972" w:type="dxa"/>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pPr>
              <w:jc w:val="right"/>
              <w:rPr>
                <w:rFonts w:hint="eastAsia" w:ascii="宋体" w:hAnsi="宋体" w:eastAsia="宋体" w:cs="宋体"/>
                <w:sz w:val="24"/>
                <w:szCs w:val="24"/>
                <w:highlight w:val="none"/>
              </w:rPr>
            </w:pPr>
          </w:p>
        </w:tc>
      </w:tr>
      <w:tr>
        <w:trPr>
          <w:trHeight w:val="615" w:hRule="atLeast"/>
        </w:trPr>
        <w:tc>
          <w:tcPr>
            <w:tcW w:w="15428" w:type="dxa"/>
            <w:gridSpan w:val="10"/>
            <w:tcBorders>
              <w:top w:val="nil"/>
              <w:left w:val="nil"/>
              <w:bottom w:val="nil"/>
              <w:right w:val="nil"/>
            </w:tcBorders>
            <w:shd w:val="clear" w:color="auto" w:fill="auto"/>
            <w:tcMar>
              <w:top w:w="15" w:type="dxa"/>
              <w:left w:w="15" w:type="dxa"/>
              <w:bottom w:w="0" w:type="dxa"/>
              <w:right w:w="15" w:type="dxa"/>
            </w:tcMar>
            <w:vAlign w:val="center"/>
          </w:tcPr>
          <w:p>
            <w:pPr>
              <w:rPr>
                <w:rFonts w:ascii="宋体" w:hAnsi="宋体" w:eastAsia="宋体" w:cs="宋体"/>
                <w:sz w:val="24"/>
                <w:szCs w:val="24"/>
                <w:highlight w:val="none"/>
              </w:rPr>
            </w:pPr>
            <w:r>
              <w:rPr>
                <w:rFonts w:hint="eastAsia"/>
                <w:highlight w:val="none"/>
              </w:rPr>
              <w:t>注：本表反映部门本年度取得的各项收入情况。</w:t>
            </w:r>
          </w:p>
        </w:tc>
      </w:tr>
    </w:tbl>
    <w:p>
      <w:pPr>
        <w:widowControl/>
        <w:jc w:val="left"/>
        <w:rPr>
          <w:rFonts w:ascii="Times New Roman" w:hAnsi="Times New Roman" w:eastAsia="黑体" w:cs="Times New Roman"/>
          <w:bCs/>
          <w:kern w:val="0"/>
          <w:sz w:val="32"/>
          <w:szCs w:val="32"/>
          <w:highlight w:val="none"/>
        </w:rPr>
      </w:pPr>
      <w:r>
        <w:rPr>
          <w:rFonts w:ascii="Times New Roman" w:hAnsi="Times New Roman" w:eastAsia="黑体" w:cs="Times New Roman"/>
          <w:bCs/>
          <w:kern w:val="0"/>
          <w:sz w:val="32"/>
          <w:szCs w:val="32"/>
          <w:highlight w:val="none"/>
        </w:rPr>
        <w:t xml:space="preserve"> </w:t>
      </w:r>
      <w:r>
        <w:rPr>
          <w:rFonts w:ascii="Times New Roman" w:hAnsi="Times New Roman" w:eastAsia="黑体" w:cs="Times New Roman"/>
          <w:bCs/>
          <w:kern w:val="0"/>
          <w:sz w:val="32"/>
          <w:szCs w:val="32"/>
          <w:highlight w:val="none"/>
        </w:rPr>
        <w:br w:type="page"/>
      </w:r>
    </w:p>
    <w:p>
      <w:pPr>
        <w:widowControl/>
        <w:rPr>
          <w:rFonts w:ascii="Times New Roman" w:hAnsi="Times New Roman" w:eastAsia="方正小标宋_GBK" w:cs="Times New Roman"/>
          <w:color w:val="000000"/>
          <w:kern w:val="0"/>
          <w:sz w:val="36"/>
          <w:szCs w:val="36"/>
          <w:highlight w:val="none"/>
        </w:rPr>
      </w:pPr>
    </w:p>
    <w:tbl>
      <w:tblPr>
        <w:tblStyle w:val="6"/>
        <w:tblW w:w="13183" w:type="dxa"/>
        <w:tblInd w:w="93" w:type="dxa"/>
        <w:tblLayout w:type="fixed"/>
        <w:tblCellMar>
          <w:top w:w="0" w:type="dxa"/>
          <w:left w:w="108" w:type="dxa"/>
          <w:bottom w:w="0" w:type="dxa"/>
          <w:right w:w="108" w:type="dxa"/>
        </w:tblCellMar>
      </w:tblPr>
      <w:tblGrid>
        <w:gridCol w:w="1042"/>
        <w:gridCol w:w="222"/>
        <w:gridCol w:w="3142"/>
        <w:gridCol w:w="1716"/>
        <w:gridCol w:w="1250"/>
        <w:gridCol w:w="1334"/>
        <w:gridCol w:w="1733"/>
        <w:gridCol w:w="1217"/>
        <w:gridCol w:w="1527"/>
      </w:tblGrid>
      <w:tr>
        <w:tblPrEx>
          <w:tblCellMar>
            <w:top w:w="0" w:type="dxa"/>
            <w:left w:w="108" w:type="dxa"/>
            <w:bottom w:w="0" w:type="dxa"/>
            <w:right w:w="108" w:type="dxa"/>
          </w:tblCellMar>
        </w:tblPrEx>
        <w:trPr>
          <w:trHeight w:val="435" w:hRule="atLeast"/>
        </w:trPr>
        <w:tc>
          <w:tcPr>
            <w:tcW w:w="13183" w:type="dxa"/>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支出决算表</w:t>
            </w:r>
          </w:p>
        </w:tc>
      </w:tr>
      <w:tr>
        <w:tblPrEx>
          <w:tblCellMar>
            <w:top w:w="0" w:type="dxa"/>
            <w:left w:w="108" w:type="dxa"/>
            <w:bottom w:w="0" w:type="dxa"/>
            <w:right w:w="108" w:type="dxa"/>
          </w:tblCellMar>
        </w:tblPrEx>
        <w:trPr>
          <w:trHeight w:val="285" w:hRule="atLeast"/>
        </w:trPr>
        <w:tc>
          <w:tcPr>
            <w:tcW w:w="10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2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142"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3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1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2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公开03表</w:t>
            </w:r>
          </w:p>
        </w:tc>
      </w:tr>
      <w:tr>
        <w:tblPrEx>
          <w:tblCellMar>
            <w:top w:w="0" w:type="dxa"/>
            <w:left w:w="108" w:type="dxa"/>
            <w:bottom w:w="0" w:type="dxa"/>
            <w:right w:w="108" w:type="dxa"/>
          </w:tblCellMar>
        </w:tblPrEx>
        <w:trPr>
          <w:trHeight w:val="285" w:hRule="atLeast"/>
        </w:trPr>
        <w:tc>
          <w:tcPr>
            <w:tcW w:w="4406" w:type="dxa"/>
            <w:gridSpan w:val="3"/>
            <w:tcBorders>
              <w:top w:val="nil"/>
              <w:left w:val="nil"/>
              <w:bottom w:val="nil"/>
              <w:right w:val="nil"/>
            </w:tcBorders>
            <w:shd w:val="clear" w:color="000000" w:fill="FFFFFF"/>
            <w:noWrap/>
            <w:vAlign w:val="center"/>
          </w:tcPr>
          <w:p>
            <w:pPr>
              <w:widowControl/>
              <w:jc w:val="left"/>
              <w:rPr>
                <w:rFonts w:hint="eastAsia" w:ascii="宋体" w:hAnsi="宋体" w:eastAsia="宋体" w:cs="宋体"/>
                <w:kern w:val="0"/>
                <w:sz w:val="24"/>
                <w:szCs w:val="24"/>
                <w:highlight w:val="none"/>
                <w:lang w:eastAsia="zh-CN"/>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kern w:val="0"/>
                <w:sz w:val="20"/>
                <w:szCs w:val="20"/>
                <w:highlight w:val="none"/>
                <w:lang w:eastAsia="zh-CN"/>
              </w:rPr>
              <w:t>益阳市谢林港镇人民政府</w:t>
            </w:r>
          </w:p>
        </w:tc>
        <w:tc>
          <w:tcPr>
            <w:tcW w:w="171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50"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34" w:type="dxa"/>
            <w:tcBorders>
              <w:top w:val="nil"/>
              <w:left w:val="nil"/>
              <w:bottom w:val="nil"/>
              <w:right w:val="nil"/>
            </w:tcBorders>
            <w:shd w:val="clear" w:color="000000" w:fill="FFFFFF"/>
            <w:noWrap/>
            <w:vAlign w:val="center"/>
          </w:tcPr>
          <w:p>
            <w:pPr>
              <w:widowControl/>
              <w:jc w:val="center"/>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　</w:t>
            </w:r>
          </w:p>
        </w:tc>
        <w:tc>
          <w:tcPr>
            <w:tcW w:w="173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17"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27"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50" w:hRule="atLeast"/>
        </w:trPr>
        <w:tc>
          <w:tcPr>
            <w:tcW w:w="4406"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171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本年支出合计</w:t>
            </w:r>
          </w:p>
        </w:tc>
        <w:tc>
          <w:tcPr>
            <w:tcW w:w="1250"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基本支出</w:t>
            </w:r>
          </w:p>
        </w:tc>
        <w:tc>
          <w:tcPr>
            <w:tcW w:w="133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c>
          <w:tcPr>
            <w:tcW w:w="173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上缴上级支出</w:t>
            </w:r>
          </w:p>
        </w:tc>
        <w:tc>
          <w:tcPr>
            <w:tcW w:w="121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经营支出</w:t>
            </w:r>
          </w:p>
        </w:tc>
        <w:tc>
          <w:tcPr>
            <w:tcW w:w="1527"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对附属单位补助支出</w:t>
            </w:r>
          </w:p>
        </w:tc>
      </w:tr>
      <w:tr>
        <w:tblPrEx>
          <w:tblCellMar>
            <w:top w:w="0" w:type="dxa"/>
            <w:left w:w="108" w:type="dxa"/>
            <w:bottom w:w="0" w:type="dxa"/>
            <w:right w:w="108" w:type="dxa"/>
          </w:tblCellMar>
        </w:tblPrEx>
        <w:trPr>
          <w:trHeight w:val="450" w:hRule="atLeast"/>
        </w:trPr>
        <w:tc>
          <w:tcPr>
            <w:tcW w:w="1264" w:type="dxa"/>
            <w:gridSpan w:val="2"/>
            <w:vMerge w:val="restart"/>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3142" w:type="dxa"/>
            <w:vMerge w:val="restart"/>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17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3142"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71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2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3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7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2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440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1716"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1250"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33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73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21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c>
          <w:tcPr>
            <w:tcW w:w="1527"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6</w:t>
            </w:r>
          </w:p>
        </w:tc>
      </w:tr>
      <w:tr>
        <w:tblPrEx>
          <w:tblCellMar>
            <w:top w:w="0" w:type="dxa"/>
            <w:left w:w="108" w:type="dxa"/>
            <w:bottom w:w="0" w:type="dxa"/>
            <w:right w:w="108" w:type="dxa"/>
          </w:tblCellMar>
        </w:tblPrEx>
        <w:trPr>
          <w:trHeight w:val="450" w:hRule="atLeast"/>
        </w:trPr>
        <w:tc>
          <w:tcPr>
            <w:tcW w:w="4406"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716"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10185.86</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2292.37</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7893.49</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201</w:t>
            </w:r>
          </w:p>
        </w:tc>
        <w:tc>
          <w:tcPr>
            <w:tcW w:w="3142"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一般公共服务支出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1995.92</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1790.59</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205.33</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20103</w:t>
            </w:r>
          </w:p>
        </w:tc>
        <w:tc>
          <w:tcPr>
            <w:tcW w:w="3142"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政府办公厅（室）及相关机构事务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1883.27</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1774.31</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108.96</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2010301</w:t>
            </w:r>
          </w:p>
        </w:tc>
        <w:tc>
          <w:tcPr>
            <w:tcW w:w="3142"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xml:space="preserve">  行政运行</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1725.06</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1722.57</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2.49</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2010303</w:t>
            </w:r>
          </w:p>
        </w:tc>
        <w:tc>
          <w:tcPr>
            <w:tcW w:w="3142"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xml:space="preserve">  机关服务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51.74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sz w:val="24"/>
                <w:szCs w:val="24"/>
                <w:highlight w:val="none"/>
              </w:rPr>
              <w:t>51.74</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2010306</w:t>
            </w:r>
          </w:p>
        </w:tc>
        <w:tc>
          <w:tcPr>
            <w:tcW w:w="3142"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xml:space="preserve">  政务公开审批</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10</w:t>
            </w:r>
            <w:r>
              <w:rPr>
                <w:rFonts w:hint="eastAsia" w:ascii="宋体" w:hAnsi="宋体" w:eastAsia="宋体" w:cs="宋体"/>
                <w:sz w:val="24"/>
                <w:szCs w:val="24"/>
                <w:highlight w:val="none"/>
                <w:lang w:val="en-US" w:eastAsia="zh-CN"/>
              </w:rPr>
              <w:t>.00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2010308</w:t>
            </w:r>
          </w:p>
        </w:tc>
        <w:tc>
          <w:tcPr>
            <w:tcW w:w="3142"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xml:space="preserve">  信访事务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56.55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56.55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2010399</w:t>
            </w:r>
          </w:p>
        </w:tc>
        <w:tc>
          <w:tcPr>
            <w:tcW w:w="3142"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 xml:space="preserve">  其他政府办公厅（室）及相关机构事务支出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39.92</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39.92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20104</w:t>
            </w:r>
          </w:p>
        </w:tc>
        <w:tc>
          <w:tcPr>
            <w:tcW w:w="3142" w:type="dxa"/>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rPr>
              <w:t>发展与改革事务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2010499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其他发展与改革事务支出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20105</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统计信息事务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2010505</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专项统计业务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20129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群众团体事务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6.31</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6.31</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2012999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其他群众团体事务支出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6.31</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6.31</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组织事务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2.34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default"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2.34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2013299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其他组织事务支出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2.34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2.34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20134</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统战事务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2013499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其他统战事务支出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20136</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其他共产党事务支出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72.95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16.28</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56.67</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2013602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一般行政管理事务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1.42</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1.42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2013699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其他共产党事务支出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71.53</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16.28</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56.67</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20199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其他一般公共服务支出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2019999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其他一般公共服务支出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公共安全支出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18.84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18.84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公安</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2040299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其他公安支出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20408</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强制隔离戒毒</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2040802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一般行政管理事务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其他公共安全支出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6.40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6.40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2049999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其他公共安全支出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6.40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6.40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教育支出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教育管理事务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2050199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其他教育管理事务支出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其他教育支出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2059999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其他教育支出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文化旅游体育与传媒支出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9.23</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9.23</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文化和旅游</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2.98</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2.98</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2070199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其他文化和旅游支出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2.98</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2.98</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其他文化旅游体育与传媒支出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6.25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6.25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2079902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宣传文化发展专项支出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1.30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1.30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2079999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其他文化旅游体育与传媒支出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4.95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4.95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社会保障和就业支出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388.19</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238.96</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149.23</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人力资源和社会保障管理事务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12.64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12.64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2080107</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社会保险业务管理事务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12.64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12.64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民政管理事务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43.84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43.84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2080208</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基层政权建设和社区治理</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21.00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21.00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2080299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其他民政管理事务支出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22.84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22.84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行政事业单位养老支出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205.32</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205.32</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行政单位离退休</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109.27</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109.27</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2080505</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机关事业单位基本养老保险缴费支出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76.84</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76.84</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2080506</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机关事业单位职业年金缴费支出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19.21</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19.21</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20807</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就业补助</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46.55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46.55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2080799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其他就业补助支出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46.55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46.55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20808</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抚恤</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33.64</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33.64</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2080899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其他优抚支出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33.64</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33.64</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退役安置</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其他退役安置支出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1.40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20819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最低生活保障</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29.55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29.55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2081901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城市最低生活保障金支出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26.90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26.90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2081902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农村最低生活保障金支出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2.65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2.65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20820</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临时救助</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8.75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8.75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2082001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临时救助支出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8.75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8.75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特困人员救助供养</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2082102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农村特困人员救助供养支出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其他社会保障和就业支出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2.50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2.50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2089999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其他社会保障和就业支出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2.50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2.50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卫生健康支出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190.36</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122.63</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67.73</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21004</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公共卫生</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59.70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59.70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2100410</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突发公共卫生事件应急处理</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59.70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59.70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21007</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计划生育事务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2100717</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计划生育服务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行政事业单位医疗</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122.63</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122.63</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2101102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事业单位医疗</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81.46</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81.46</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2101103</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公务员医疗补助</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41.17</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41.17</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21015</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医疗保障管理事务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4.02</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2101599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其他医疗保障管理事务支出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4.02</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4.02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节能环保支出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1107.71</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1107.71</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污染防治</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918.36</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918.36</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2110302</w:t>
            </w:r>
          </w:p>
        </w:tc>
        <w:tc>
          <w:tcPr>
            <w:tcW w:w="3142" w:type="dxa"/>
            <w:tcBorders>
              <w:top w:val="nil"/>
              <w:left w:val="nil"/>
              <w:bottom w:val="single" w:color="auto" w:sz="4" w:space="0"/>
              <w:right w:val="single" w:color="auto" w:sz="4" w:space="0"/>
            </w:tcBorders>
            <w:shd w:val="clear" w:color="000000" w:fill="FFFFFF"/>
            <w:noWrap/>
            <w:vAlign w:val="center"/>
          </w:tcPr>
          <w:p>
            <w:pPr>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水体</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775.98</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775.98</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2110307</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土壤</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91.31</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91.31</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其他污染防治支出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51.07</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51.07</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21104</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自然生态保护</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186.64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186.64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2110402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农村环境保护</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186.64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186.64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其他节能环保支出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2.71</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2.71</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2119999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其他节能环保支出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2.71</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2.71</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城乡社区支出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1662.21</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1662.21</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城乡社区管理事务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60.00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60.00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2120104</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城管执法</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60.00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60.00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21205</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城乡社区环境卫生</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42.00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42.00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2120501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城乡社区环境卫生</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42.00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42.00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21208</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国有土地使用权出让收入安排的支出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1152.04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1152.04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2120801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征地和拆迁补偿支出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58.95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58.95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2120803</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城市建设支出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799.09</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799.09</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2120804</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农村基础设施建设支出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240.00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240.00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2120899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其他国有土地使用权出让收入安排的支出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54.00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54.00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21213</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城市基础设施配套费安排的支出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150.00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150.00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2121301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城市公共设施</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150.00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150.00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其他城乡社区支出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258.17</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258.17</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2129999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其他城乡社区支出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258.17</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258.17</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农林水支出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4530.36</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4530.36</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农业农村</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460.72</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460.72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2130108</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病虫害控制</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2.28</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2.28</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2130119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防灾救灾</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4.99</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4.99</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2130122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农业生产发展</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42.28</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42.28</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2130126</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农村社会事业</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305.17</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305.17</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其他农业农村支出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106.00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106.00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21303</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水利</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10.55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10.55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2130316</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农村水利</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2130399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其他水利支出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9.27</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9.27</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21305</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扶贫</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244.42</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244.42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2130599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其他扶贫支出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244.42</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244.42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农村综合改革</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3685.81</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3685.81</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对村级公益事业建设的补助</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103.24</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103.24</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2130705</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对村民委员会和村党支部的补助</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431.85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431.85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其他农村综合改革支出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3150.72</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3150.72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其他农林水支出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128.86</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128.86</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2139999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其他农林水支出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128.86</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128.86</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220</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自然资源海洋气象等支出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35.00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35.00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22001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自然资源事务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35.00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35.00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2200199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其他自然资源事务支出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35.00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35.00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住房保障支出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128.24</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128.24</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住房改革支出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128.24</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128.24</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2210201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住房公积金</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128.24</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128.24</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灾害防治及应急管理支出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39.95</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39.95</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22401</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应急管理事务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29.98</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29.98</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2240106</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安全监管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3.00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2240199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其他应急管理支出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26.98</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26.98</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消防事务</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7.96</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7.96</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2240299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其他消防事务支出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7.96</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7.96</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22407</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自然灾害救灾及恢复重建支出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2240799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其他自然灾害救灾及恢复重建支出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2.00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69.87</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default"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11.96</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57.92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sz w:val="24"/>
                <w:szCs w:val="24"/>
                <w:highlight w:val="none"/>
              </w:rPr>
            </w:pPr>
            <w:r>
              <w:rPr>
                <w:rFonts w:hint="eastAsia" w:ascii="宋体" w:hAnsi="宋体" w:eastAsia="宋体" w:cs="宋体"/>
                <w:sz w:val="24"/>
                <w:szCs w:val="24"/>
                <w:highlight w:val="none"/>
              </w:rPr>
              <w:t>其他支出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69.87</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11.96</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57.92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2299999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其他支出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69.87</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11.96</w:t>
            </w:r>
          </w:p>
        </w:tc>
        <w:tc>
          <w:tcPr>
            <w:tcW w:w="1334"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57.92</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234</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抗疫特别国债安排的支出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250"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5.00</w:t>
            </w: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0"/>
                <w:sz w:val="24"/>
                <w:szCs w:val="24"/>
                <w:highlight w:val="none"/>
              </w:rPr>
            </w:pPr>
            <w:r>
              <w:rPr>
                <w:rFonts w:hint="eastAsia" w:ascii="宋体" w:hAnsi="宋体" w:eastAsia="宋体" w:cs="宋体"/>
                <w:sz w:val="24"/>
                <w:szCs w:val="24"/>
                <w:highlight w:val="none"/>
                <w:lang w:val="en-US" w:eastAsia="zh-CN"/>
              </w:rPr>
              <w:t>5.00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23402</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抗疫相关支出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450" w:hRule="atLeast"/>
        </w:trPr>
        <w:tc>
          <w:tcPr>
            <w:tcW w:w="1264" w:type="dxa"/>
            <w:gridSpan w:val="2"/>
            <w:tcBorders>
              <w:top w:val="single" w:color="auto" w:sz="4" w:space="0"/>
              <w:left w:val="single" w:color="auto" w:sz="4" w:space="0"/>
              <w:bottom w:val="single" w:color="auto" w:sz="4" w:space="0"/>
              <w:right w:val="single" w:color="auto" w:sz="4" w:space="0"/>
            </w:tcBorders>
            <w:shd w:val="clear" w:color="000000" w:fill="FFFFFF"/>
            <w:noWrap/>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2340299</w:t>
            </w:r>
          </w:p>
        </w:tc>
        <w:tc>
          <w:tcPr>
            <w:tcW w:w="3142" w:type="dxa"/>
            <w:tcBorders>
              <w:top w:val="nil"/>
              <w:left w:val="nil"/>
              <w:bottom w:val="single" w:color="auto" w:sz="4" w:space="0"/>
              <w:right w:val="single" w:color="auto" w:sz="4" w:space="0"/>
            </w:tcBorders>
            <w:shd w:val="clear" w:color="000000" w:fill="FFFFFF"/>
            <w:noWrap/>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其他抗疫相关支出</w:t>
            </w:r>
          </w:p>
        </w:tc>
        <w:tc>
          <w:tcPr>
            <w:tcW w:w="1716"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250"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334" w:type="dxa"/>
            <w:tcBorders>
              <w:top w:val="nil"/>
              <w:left w:val="nil"/>
              <w:bottom w:val="single" w:color="auto" w:sz="4" w:space="0"/>
              <w:right w:val="single" w:color="auto" w:sz="4" w:space="0"/>
            </w:tcBorders>
            <w:shd w:val="clear" w:color="auto" w:fill="auto"/>
            <w:noWrap/>
            <w:vAlign w:val="center"/>
          </w:tcPr>
          <w:p>
            <w:pPr>
              <w:jc w:val="righ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5.00</w:t>
            </w:r>
          </w:p>
        </w:tc>
        <w:tc>
          <w:tcPr>
            <w:tcW w:w="1733"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21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c>
          <w:tcPr>
            <w:tcW w:w="1527"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4"/>
                <w:szCs w:val="24"/>
                <w:highlight w:val="none"/>
              </w:rPr>
            </w:pPr>
          </w:p>
        </w:tc>
      </w:tr>
      <w:tr>
        <w:tblPrEx>
          <w:tblCellMar>
            <w:top w:w="0" w:type="dxa"/>
            <w:left w:w="108" w:type="dxa"/>
            <w:bottom w:w="0" w:type="dxa"/>
            <w:right w:w="108" w:type="dxa"/>
          </w:tblCellMar>
        </w:tblPrEx>
        <w:trPr>
          <w:trHeight w:val="630" w:hRule="atLeast"/>
        </w:trPr>
        <w:tc>
          <w:tcPr>
            <w:tcW w:w="13183" w:type="dxa"/>
            <w:gridSpan w:val="9"/>
            <w:tcBorders>
              <w:top w:val="nil"/>
              <w:left w:val="nil"/>
              <w:bottom w:val="nil"/>
              <w:right w:val="nil"/>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注：本表反映部门本年度各项支出情况。</w:t>
            </w:r>
          </w:p>
        </w:tc>
      </w:tr>
    </w:tbl>
    <w:p>
      <w:pPr>
        <w:widowControl/>
        <w:ind w:left="93"/>
        <w:jc w:val="center"/>
        <w:rPr>
          <w:rFonts w:ascii="Times New Roman" w:hAnsi="Times New Roman" w:eastAsia="方正小标宋_GBK" w:cs="Times New Roman"/>
          <w:color w:val="000000"/>
          <w:kern w:val="0"/>
          <w:sz w:val="36"/>
          <w:szCs w:val="21"/>
          <w:highlight w:val="none"/>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pPr>
              <w:widowControl/>
              <w:jc w:val="left"/>
              <w:rPr>
                <w:rFonts w:ascii="黑体" w:hAnsi="黑体" w:eastAsia="黑体" w:cs="宋体"/>
                <w:kern w:val="0"/>
                <w:sz w:val="24"/>
                <w:szCs w:val="24"/>
                <w:highlight w:val="none"/>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1574"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3547" w:type="dxa"/>
            <w:gridSpan w:val="2"/>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435"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1394"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c>
          <w:tcPr>
            <w:tcW w:w="1573" w:type="dxa"/>
            <w:tcBorders>
              <w:top w:val="nil"/>
              <w:left w:val="nil"/>
              <w:bottom w:val="nil"/>
              <w:right w:val="nil"/>
            </w:tcBorders>
            <w:shd w:val="clear" w:color="auto" w:fill="auto"/>
            <w:noWrap/>
            <w:vAlign w:val="center"/>
          </w:tcPr>
          <w:p>
            <w:pPr>
              <w:widowControl/>
              <w:jc w:val="righ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 w:val="32"/>
                <w:szCs w:val="32"/>
                <w:highlight w:val="none"/>
              </w:rPr>
            </w:pPr>
            <w:r>
              <w:rPr>
                <w:rFonts w:hint="eastAsia" w:ascii="华文中宋" w:hAnsi="华文中宋" w:eastAsia="华文中宋" w:cs="宋体"/>
                <w:color w:val="000000"/>
                <w:kern w:val="0"/>
                <w:sz w:val="32"/>
                <w:szCs w:val="32"/>
                <w:highlight w:val="none"/>
              </w:rPr>
              <w:t>财政拨款收入支出决算总表</w:t>
            </w:r>
          </w:p>
        </w:tc>
      </w:tr>
      <w:tr>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公开04表</w:t>
            </w:r>
          </w:p>
        </w:tc>
      </w:tr>
      <w:tr>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pPr>
              <w:widowControl/>
              <w:jc w:val="left"/>
              <w:rPr>
                <w:rFonts w:hint="eastAsia" w:ascii="宋体" w:hAnsi="宋体" w:eastAsia="宋体" w:cs="宋体"/>
                <w:color w:val="000000"/>
                <w:kern w:val="0"/>
                <w:sz w:val="20"/>
                <w:szCs w:val="20"/>
                <w:highlight w:val="none"/>
                <w:lang w:eastAsia="zh-CN"/>
              </w:rPr>
            </w:pPr>
            <w:r>
              <w:rPr>
                <w:rFonts w:hint="eastAsia" w:ascii="宋体" w:hAnsi="宋体" w:eastAsia="宋体" w:cs="宋体"/>
                <w:color w:val="000000"/>
                <w:kern w:val="0"/>
                <w:sz w:val="20"/>
                <w:szCs w:val="20"/>
                <w:highlight w:val="none"/>
              </w:rPr>
              <w:t>部门：</w:t>
            </w:r>
            <w:r>
              <w:rPr>
                <w:rFonts w:hint="eastAsia" w:ascii="宋体" w:hAnsi="宋体" w:eastAsia="宋体" w:cs="宋体"/>
                <w:color w:val="000000"/>
                <w:kern w:val="0"/>
                <w:sz w:val="20"/>
                <w:szCs w:val="20"/>
                <w:highlight w:val="none"/>
                <w:lang w:eastAsia="zh-CN"/>
              </w:rPr>
              <w:t>益阳市谢林港镇人民政府</w:t>
            </w:r>
          </w:p>
        </w:tc>
        <w:tc>
          <w:tcPr>
            <w:tcW w:w="436"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078"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043" w:type="dxa"/>
            <w:gridSpan w:val="3"/>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435"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394" w:type="dxa"/>
            <w:tcBorders>
              <w:top w:val="nil"/>
              <w:left w:val="nil"/>
              <w:bottom w:val="nil"/>
              <w:right w:val="nil"/>
            </w:tcBorders>
            <w:shd w:val="clear" w:color="000000" w:fill="FFFFFF"/>
            <w:noWrap/>
            <w:vAlign w:val="center"/>
          </w:tcPr>
          <w:p>
            <w:pPr>
              <w:widowControl/>
              <w:jc w:val="righ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3" w:type="dxa"/>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支出</w:t>
            </w:r>
          </w:p>
        </w:tc>
      </w:tr>
      <w:tr>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行次</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行次</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国有资本经营预算财政拨款</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    次</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078"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4"/>
                <w:szCs w:val="24"/>
                <w:highlight w:val="none"/>
                <w:lang w:val="en-US" w:eastAsia="zh-CN"/>
              </w:rPr>
            </w:pPr>
            <w:r>
              <w:rPr>
                <w:rFonts w:hint="eastAsia" w:ascii="宋体" w:hAnsi="宋体" w:eastAsia="宋体" w:cs="宋体"/>
                <w:kern w:val="0"/>
                <w:sz w:val="24"/>
                <w:szCs w:val="24"/>
                <w:highlight w:val="none"/>
                <w:lang w:val="en-US" w:eastAsia="zh-CN"/>
              </w:rPr>
              <w:t>1</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5</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一、一般公共预算财政拨款收入</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8507.03</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31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1995.92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1995.92</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二、政府性基金预算财政拨款收入</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1307.04</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二、外交支出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32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三、国有资本经营预算财政拨款收入</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三、国防支出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33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四、上级补助收入</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四、公共安全支出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34</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18.84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18.84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五、事业收入</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五、教育支出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35</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5.00</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六、经营收入</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六、科学技术支出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36</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七、附属单位上缴收入</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七、文化旅游体育与传媒支出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37</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9.23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lang w:val="en-US" w:eastAsia="zh-CN"/>
              </w:rPr>
              <w:t>9.23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八、其他收入</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8</w:t>
            </w:r>
          </w:p>
        </w:tc>
        <w:tc>
          <w:tcPr>
            <w:tcW w:w="1078"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八、社会保障和就业支出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38</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385.69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385.69</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0"/>
                <w:szCs w:val="20"/>
                <w:highlight w:val="none"/>
                <w:lang w:val="en-US" w:eastAsia="zh-CN" w:bidi="ar-SA"/>
              </w:rPr>
            </w:pPr>
            <w:r>
              <w:rPr>
                <w:rFonts w:hint="eastAsia" w:ascii="宋体" w:hAnsi="宋体" w:eastAsia="宋体" w:cs="宋体"/>
                <w:kern w:val="0"/>
                <w:sz w:val="20"/>
                <w:szCs w:val="20"/>
                <w:highlight w:val="none"/>
              </w:rPr>
              <w:t>　</w:t>
            </w: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九、卫生健康支出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39</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190.36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190.36</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10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十、节能环保支出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40</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1035.33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1035.33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11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十一、城乡社区支出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41</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1455.21</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153.17</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b/>
                <w:bCs/>
                <w:kern w:val="0"/>
                <w:sz w:val="22"/>
                <w:highlight w:val="none"/>
              </w:rPr>
              <w:t>1302.04</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12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十二、农林水支出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42</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4440.45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4440.45</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13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3411" w:type="dxa"/>
            <w:gridSpan w:val="2"/>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十三、交通运输支出</w:t>
            </w:r>
          </w:p>
        </w:tc>
        <w:tc>
          <w:tcPr>
            <w:tcW w:w="1067" w:type="dxa"/>
            <w:gridSpan w:val="2"/>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43</w:t>
            </w: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kern w:val="0"/>
                <w:sz w:val="22"/>
                <w:highlight w:val="none"/>
              </w:rPr>
            </w:pPr>
            <w:r>
              <w:rPr>
                <w:rFonts w:hint="eastAsia" w:ascii="宋体" w:hAnsi="宋体" w:eastAsia="宋体" w:cs="宋体"/>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14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十四、资源勘探工业信息等支出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44</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ascii="宋体" w:hAnsi="宋体" w:eastAsia="宋体" w:cs="宋体"/>
                <w:kern w:val="0"/>
                <w:sz w:val="22"/>
                <w:highlight w:val="none"/>
              </w:rPr>
            </w:pPr>
            <w:r>
              <w:rPr>
                <w:rFonts w:hint="eastAsia" w:ascii="宋体" w:hAnsi="宋体" w:eastAsia="宋体" w:cs="宋体"/>
                <w:kern w:val="0"/>
                <w:sz w:val="22"/>
                <w:highlight w:val="none"/>
              </w:rPr>
              <w:t>　</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b/>
                <w:bCs/>
                <w:kern w:val="0"/>
                <w:sz w:val="22"/>
                <w:highlight w:val="none"/>
              </w:rPr>
            </w:pPr>
            <w:r>
              <w:rPr>
                <w:rFonts w:hint="eastAsia" w:ascii="宋体" w:hAnsi="宋体" w:eastAsia="宋体" w:cs="宋体"/>
                <w:b/>
                <w:bCs/>
                <w:kern w:val="0"/>
                <w:sz w:val="22"/>
                <w:highlight w:val="none"/>
              </w:rPr>
              <w:t>　</w:t>
            </w: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15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十五、商业服务业等支出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45</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16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十六、金融支出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46</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17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十七、援助其他地区支出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47</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18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十八、自然资源海洋气象等支出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48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rPr>
              <w:t>35</w:t>
            </w:r>
            <w:r>
              <w:rPr>
                <w:rFonts w:hint="eastAsia" w:ascii="宋体" w:hAnsi="宋体" w:eastAsia="宋体" w:cs="宋体"/>
                <w:kern w:val="0"/>
                <w:sz w:val="22"/>
                <w:highlight w:val="none"/>
                <w:lang w:val="en-US" w:eastAsia="zh-CN"/>
              </w:rPr>
              <w:t>.00</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35</w:t>
            </w:r>
            <w:r>
              <w:rPr>
                <w:rFonts w:hint="eastAsia" w:ascii="宋体" w:hAnsi="宋体" w:eastAsia="宋体" w:cs="宋体"/>
                <w:kern w:val="0"/>
                <w:sz w:val="22"/>
                <w:highlight w:val="none"/>
                <w:lang w:val="en-US" w:eastAsia="zh-CN"/>
              </w:rPr>
              <w:t>.00</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19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十九、住房保障支出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49</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128.24</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128.24</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highlight w:val="none"/>
                <w:lang w:val="en-US" w:eastAsia="zh-CN"/>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2"/>
                <w:highlight w:val="none"/>
                <w:lang w:val="en-US" w:eastAsia="zh-CN"/>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20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二十、粮油物资储备支出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50</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21</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二十一、国有资本经营预算支出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51</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22</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二十二、灾害防治及应急管理支出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52</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39.95</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39.95</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23</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二十三、其他支出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53</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69.87</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69.87</w:t>
            </w: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24</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二十四、债务还本支出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54</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25</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二十五、债务付息支出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55</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right"/>
              <w:rPr>
                <w:rFonts w:hint="eastAsia" w:ascii="宋体" w:hAnsi="宋体" w:eastAsia="宋体" w:cs="宋体"/>
                <w:kern w:val="0"/>
                <w:sz w:val="20"/>
                <w:szCs w:val="20"/>
                <w:highlight w:val="none"/>
                <w:lang w:val="en-US" w:eastAsia="zh-CN" w:bidi="ar-SA"/>
              </w:rPr>
            </w:pP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26</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rPr>
              <w:t>二十六、抗疫特别国债安排的支出</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56</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default" w:ascii="宋体" w:hAnsi="宋体" w:eastAsia="宋体" w:cs="宋体"/>
                <w:kern w:val="0"/>
                <w:sz w:val="22"/>
                <w:highlight w:val="none"/>
                <w:lang w:val="en-US" w:eastAsia="zh-CN"/>
              </w:rPr>
            </w:pPr>
            <w:r>
              <w:rPr>
                <w:rFonts w:hint="eastAsia" w:ascii="宋体" w:hAnsi="宋体" w:eastAsia="宋体" w:cs="宋体"/>
                <w:kern w:val="0"/>
                <w:sz w:val="22"/>
                <w:highlight w:val="none"/>
                <w:lang w:val="en-US" w:eastAsia="zh-CN"/>
              </w:rPr>
              <w:t>5.00</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val="0"/>
                <w:bCs w:val="0"/>
                <w:kern w:val="0"/>
                <w:sz w:val="22"/>
                <w:highlight w:val="none"/>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kern w:val="0"/>
                <w:sz w:val="22"/>
                <w:highlight w:val="none"/>
                <w:lang w:val="en-US" w:eastAsia="zh-CN"/>
              </w:rPr>
            </w:pPr>
            <w:r>
              <w:rPr>
                <w:rFonts w:hint="eastAsia" w:ascii="宋体" w:hAnsi="宋体" w:eastAsia="宋体" w:cs="宋体"/>
                <w:b/>
                <w:bCs/>
                <w:kern w:val="0"/>
                <w:sz w:val="22"/>
                <w:highlight w:val="none"/>
                <w:lang w:val="en-US" w:eastAsia="zh-CN"/>
              </w:rPr>
              <w:t>5.00</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2"/>
                <w:szCs w:val="22"/>
                <w:highlight w:val="none"/>
                <w:lang w:val="en-US" w:eastAsia="zh-CN" w:bidi="ar-SA"/>
              </w:rPr>
            </w:pPr>
            <w:r>
              <w:rPr>
                <w:rFonts w:hint="eastAsia" w:ascii="宋体" w:hAnsi="宋体" w:eastAsia="宋体" w:cs="宋体"/>
                <w:b/>
                <w:bCs/>
                <w:kern w:val="0"/>
                <w:sz w:val="22"/>
                <w:highlight w:val="none"/>
              </w:rPr>
              <w:t>本年收入合计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27</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r>
              <w:rPr>
                <w:rFonts w:hint="eastAsia" w:ascii="宋体" w:hAnsi="宋体" w:eastAsia="宋体" w:cs="宋体"/>
                <w:kern w:val="0"/>
                <w:sz w:val="22"/>
                <w:highlight w:val="none"/>
              </w:rPr>
              <w:t>9814.07</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2"/>
                <w:szCs w:val="22"/>
                <w:highlight w:val="none"/>
                <w:lang w:val="en-US" w:eastAsia="zh-CN" w:bidi="ar-SA"/>
              </w:rPr>
            </w:pPr>
            <w:r>
              <w:rPr>
                <w:rFonts w:hint="eastAsia" w:ascii="宋体" w:hAnsi="宋体" w:eastAsia="宋体" w:cs="宋体"/>
                <w:b/>
                <w:bCs/>
                <w:kern w:val="0"/>
                <w:sz w:val="22"/>
                <w:highlight w:val="none"/>
              </w:rPr>
              <w:t>本年支出合计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57</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9814.07</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8507.03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1307.04</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val="0"/>
                <w:bCs w:val="0"/>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 xml:space="preserve">         使用非财政拨款结余</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28</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 xml:space="preserve">                结余分配</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58</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 xml:space="preserve">         年初结转和结余</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29</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left"/>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rPr>
              <w:t xml:space="preserve">               年末结转和结余</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59</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p>
        </w:tc>
        <w:tc>
          <w:tcPr>
            <w:tcW w:w="1394"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2"/>
                <w:szCs w:val="22"/>
                <w:highlight w:val="none"/>
                <w:lang w:val="en-US" w:eastAsia="zh-CN" w:bidi="ar-SA"/>
              </w:rPr>
            </w:pPr>
            <w:r>
              <w:rPr>
                <w:rFonts w:hint="eastAsia" w:ascii="宋体" w:hAnsi="宋体" w:eastAsia="宋体" w:cs="宋体"/>
                <w:b/>
                <w:bCs/>
                <w:kern w:val="0"/>
                <w:sz w:val="22"/>
                <w:highlight w:val="none"/>
              </w:rPr>
              <w:t>总计</w:t>
            </w:r>
          </w:p>
        </w:tc>
        <w:tc>
          <w:tcPr>
            <w:tcW w:w="436"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30</w:t>
            </w:r>
          </w:p>
        </w:tc>
        <w:tc>
          <w:tcPr>
            <w:tcW w:w="1078" w:type="dxa"/>
            <w:tcBorders>
              <w:top w:val="nil"/>
              <w:left w:val="nil"/>
              <w:bottom w:val="single" w:color="auto" w:sz="4" w:space="0"/>
              <w:right w:val="single" w:color="auto" w:sz="4" w:space="0"/>
            </w:tcBorders>
            <w:shd w:val="clear" w:color="auto" w:fill="auto"/>
            <w:noWrap/>
            <w:vAlign w:val="center"/>
          </w:tcPr>
          <w:p>
            <w:pPr>
              <w:widowControl/>
              <w:jc w:val="right"/>
              <w:rPr>
                <w:rFonts w:hint="eastAsia" w:ascii="宋体" w:hAnsi="宋体" w:eastAsia="宋体" w:cs="宋体"/>
                <w:kern w:val="0"/>
                <w:sz w:val="22"/>
                <w:highlight w:val="none"/>
              </w:rPr>
            </w:pPr>
            <w:r>
              <w:rPr>
                <w:rFonts w:hint="eastAsia" w:ascii="宋体" w:hAnsi="宋体" w:eastAsia="宋体" w:cs="宋体"/>
                <w:kern w:val="0"/>
                <w:sz w:val="22"/>
                <w:highlight w:val="none"/>
              </w:rPr>
              <w:t>9814.07</w:t>
            </w:r>
          </w:p>
        </w:tc>
        <w:tc>
          <w:tcPr>
            <w:tcW w:w="3411"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b/>
                <w:bCs/>
                <w:kern w:val="0"/>
                <w:sz w:val="22"/>
                <w:szCs w:val="22"/>
                <w:highlight w:val="none"/>
                <w:lang w:val="en-US" w:eastAsia="zh-CN" w:bidi="ar-SA"/>
              </w:rPr>
            </w:pPr>
            <w:r>
              <w:rPr>
                <w:rFonts w:hint="eastAsia" w:ascii="宋体" w:hAnsi="宋体" w:eastAsia="宋体" w:cs="宋体"/>
                <w:b/>
                <w:bCs/>
                <w:kern w:val="0"/>
                <w:sz w:val="22"/>
                <w:highlight w:val="none"/>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szCs w:val="22"/>
                <w:highlight w:val="none"/>
                <w:lang w:val="en-US" w:eastAsia="zh-CN" w:bidi="ar-SA"/>
              </w:rPr>
            </w:pPr>
            <w:r>
              <w:rPr>
                <w:rFonts w:hint="eastAsia" w:ascii="宋体" w:hAnsi="宋体" w:eastAsia="宋体" w:cs="宋体"/>
                <w:kern w:val="0"/>
                <w:sz w:val="22"/>
                <w:highlight w:val="none"/>
                <w:lang w:val="en-US" w:eastAsia="zh-CN"/>
              </w:rPr>
              <w:t>60</w:t>
            </w:r>
          </w:p>
        </w:tc>
        <w:tc>
          <w:tcPr>
            <w:tcW w:w="1573"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9814.07</w:t>
            </w:r>
          </w:p>
        </w:tc>
        <w:tc>
          <w:tcPr>
            <w:tcW w:w="1394" w:type="dxa"/>
            <w:tcBorders>
              <w:top w:val="nil"/>
              <w:left w:val="nil"/>
              <w:bottom w:val="single" w:color="auto" w:sz="4" w:space="0"/>
              <w:right w:val="single" w:color="auto" w:sz="4" w:space="0"/>
            </w:tcBorders>
            <w:shd w:val="clear" w:color="000000" w:fill="FFFFFF"/>
            <w:noWrap/>
            <w:vAlign w:val="center"/>
          </w:tcPr>
          <w:p>
            <w:pPr>
              <w:widowControl/>
              <w:jc w:val="center"/>
              <w:rPr>
                <w:rFonts w:hint="eastAsia" w:ascii="宋体" w:hAnsi="宋体" w:eastAsia="宋体" w:cs="宋体"/>
                <w:kern w:val="0"/>
                <w:sz w:val="22"/>
                <w:highlight w:val="none"/>
              </w:rPr>
            </w:pPr>
            <w:r>
              <w:rPr>
                <w:rFonts w:hint="eastAsia" w:ascii="宋体" w:hAnsi="宋体" w:eastAsia="宋体" w:cs="宋体"/>
                <w:kern w:val="0"/>
                <w:sz w:val="22"/>
                <w:highlight w:val="none"/>
              </w:rPr>
              <w:t>8507.03</w:t>
            </w:r>
          </w:p>
        </w:tc>
        <w:tc>
          <w:tcPr>
            <w:tcW w:w="1394"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b/>
                <w:bCs/>
                <w:kern w:val="0"/>
                <w:sz w:val="22"/>
                <w:highlight w:val="none"/>
              </w:rPr>
            </w:pPr>
            <w:r>
              <w:rPr>
                <w:rFonts w:hint="eastAsia" w:ascii="宋体" w:hAnsi="宋体" w:eastAsia="宋体" w:cs="宋体"/>
                <w:b/>
                <w:bCs/>
                <w:kern w:val="0"/>
                <w:sz w:val="22"/>
                <w:highlight w:val="none"/>
              </w:rPr>
              <w:t>1307.04</w:t>
            </w:r>
          </w:p>
        </w:tc>
        <w:tc>
          <w:tcPr>
            <w:tcW w:w="157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eastAsia="宋体" w:cs="宋体"/>
                <w:b/>
                <w:bCs/>
                <w:kern w:val="0"/>
                <w:sz w:val="22"/>
                <w:highlight w:val="none"/>
              </w:rPr>
            </w:pPr>
          </w:p>
        </w:tc>
      </w:tr>
      <w:tr>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注：本表反映部门本年度一般公共预算财政拨款、政府性基金预算财政拨款和国有资本经营预算财政拨款的总收支和年末结转结余情况。</w:t>
            </w:r>
          </w:p>
        </w:tc>
      </w:tr>
    </w:tbl>
    <w:p>
      <w:pPr>
        <w:widowControl/>
        <w:jc w:val="center"/>
        <w:rPr>
          <w:rFonts w:ascii="Times New Roman" w:hAnsi="Times New Roman" w:eastAsia="方正小标宋_GBK" w:cs="Times New Roman"/>
          <w:kern w:val="0"/>
          <w:sz w:val="36"/>
          <w:szCs w:val="36"/>
          <w:highlight w:val="none"/>
        </w:rPr>
      </w:pPr>
    </w:p>
    <w:p>
      <w:pPr>
        <w:rPr>
          <w:rFonts w:ascii="Times New Roman" w:hAnsi="Times New Roman" w:eastAsia="方正小标宋_GBK" w:cs="Times New Roman"/>
          <w:kern w:val="0"/>
          <w:sz w:val="36"/>
          <w:szCs w:val="36"/>
          <w:highlight w:val="none"/>
        </w:rPr>
      </w:pPr>
      <w:r>
        <w:rPr>
          <w:rFonts w:ascii="Times New Roman" w:hAnsi="Times New Roman" w:eastAsia="方正小标宋_GBK" w:cs="Times New Roman"/>
          <w:kern w:val="0"/>
          <w:sz w:val="36"/>
          <w:szCs w:val="36"/>
          <w:highlight w:val="none"/>
        </w:rPr>
        <w:br w:type="page"/>
      </w:r>
    </w:p>
    <w:p>
      <w:pPr>
        <w:pStyle w:val="2"/>
        <w:rPr>
          <w:highlight w:val="none"/>
        </w:rPr>
      </w:pPr>
    </w:p>
    <w:p>
      <w:pPr>
        <w:widowControl/>
        <w:jc w:val="center"/>
        <w:rPr>
          <w:rFonts w:ascii="Times New Roman" w:hAnsi="Times New Roman" w:eastAsia="方正小标宋_GBK" w:cs="Times New Roman"/>
          <w:kern w:val="0"/>
          <w:sz w:val="36"/>
          <w:szCs w:val="36"/>
          <w:highlight w:val="none"/>
        </w:rPr>
      </w:pPr>
      <w:r>
        <w:rPr>
          <w:rFonts w:ascii="Times New Roman" w:hAnsi="Times New Roman" w:eastAsia="方正小标宋_GBK" w:cs="Times New Roman"/>
          <w:kern w:val="0"/>
          <w:sz w:val="36"/>
          <w:szCs w:val="36"/>
          <w:highlight w:val="none"/>
        </w:rPr>
        <w:t>一般公共预算财政拨款支出决算表</w:t>
      </w:r>
      <w:bookmarkEnd w:id="1"/>
    </w:p>
    <w:p>
      <w:pPr>
        <w:widowControl/>
        <w:spacing w:before="156" w:beforeLines="50"/>
        <w:jc w:val="left"/>
        <w:rPr>
          <w:rFonts w:ascii="Times New Roman" w:hAnsi="Times New Roman" w:eastAsia="宋体" w:cs="Times New Roman"/>
          <w:color w:val="000000"/>
          <w:kern w:val="0"/>
          <w:sz w:val="20"/>
          <w:szCs w:val="20"/>
          <w:highlight w:val="none"/>
        </w:rPr>
      </w:pP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部门：</w:t>
      </w:r>
      <w:r>
        <w:rPr>
          <w:rFonts w:hint="eastAsia" w:ascii="Times New Roman" w:hAnsi="Times New Roman" w:eastAsia="仿宋_GB2312" w:cs="Times New Roman"/>
          <w:color w:val="000000"/>
          <w:kern w:val="0"/>
          <w:szCs w:val="21"/>
          <w:highlight w:val="none"/>
          <w:lang w:eastAsia="zh-CN"/>
        </w:rPr>
        <w:t>益阳市谢林港镇人民政府</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lang w:val="en-US" w:eastAsia="zh-CN"/>
        </w:rPr>
        <w:t xml:space="preserve">              </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 xml:space="preserve"> 公开05表</w:t>
      </w:r>
      <w:r>
        <w:rPr>
          <w:rFonts w:hint="eastAsia" w:ascii="Times New Roman" w:hAnsi="Times New Roman" w:eastAsia="仿宋_GB2312" w:cs="Times New Roman"/>
          <w:color w:val="000000"/>
          <w:kern w:val="0"/>
          <w:szCs w:val="21"/>
          <w:highlight w:val="none"/>
          <w:lang w:val="en-US" w:eastAsia="zh-CN"/>
        </w:rPr>
        <w:t xml:space="preserve">                                                  </w:t>
      </w:r>
      <w:r>
        <w:rPr>
          <w:rFonts w:ascii="Times New Roman" w:hAnsi="Times New Roman" w:eastAsia="仿宋_GB2312" w:cs="Times New Roman"/>
          <w:color w:val="000000"/>
          <w:kern w:val="0"/>
          <w:szCs w:val="21"/>
          <w:highlight w:val="none"/>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3527"/>
        <w:gridCol w:w="3000"/>
        <w:gridCol w:w="3492"/>
        <w:gridCol w:w="3000"/>
      </w:tblGrid>
      <w:tr>
        <w:tblPrEx>
          <w:tblCellMar>
            <w:top w:w="0" w:type="dxa"/>
            <w:left w:w="108" w:type="dxa"/>
            <w:bottom w:w="0" w:type="dxa"/>
            <w:right w:w="108" w:type="dxa"/>
          </w:tblCellMar>
        </w:tblPrEx>
        <w:trPr>
          <w:trHeight w:val="405" w:hRule="atLeast"/>
          <w:jc w:val="center"/>
        </w:trPr>
        <w:tc>
          <w:tcPr>
            <w:tcW w:w="4727" w:type="dxa"/>
            <w:gridSpan w:val="2"/>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 xml:space="preserve">项 </w:t>
            </w:r>
            <w:r>
              <w:rPr>
                <w:rFonts w:ascii="Times New Roman" w:hAnsi="Times New Roman" w:eastAsia="仿宋_GB2312" w:cs="Times New Roman"/>
                <w:b/>
                <w:color w:val="000000"/>
                <w:kern w:val="0"/>
                <w:szCs w:val="21"/>
                <w:highlight w:val="none"/>
              </w:rPr>
              <w:t xml:space="preserve">   </w:t>
            </w:r>
            <w:r>
              <w:rPr>
                <w:rFonts w:ascii="Times New Roman" w:hAnsi="Times New Roman" w:eastAsia="仿宋_GB2312" w:cs="Times New Roman"/>
                <w:b/>
                <w:kern w:val="0"/>
                <w:szCs w:val="21"/>
                <w:highlight w:val="none"/>
              </w:rPr>
              <w:t>目</w:t>
            </w:r>
          </w:p>
        </w:tc>
        <w:tc>
          <w:tcPr>
            <w:tcW w:w="9492" w:type="dxa"/>
            <w:gridSpan w:val="3"/>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本年支出</w:t>
            </w:r>
          </w:p>
        </w:tc>
      </w:tr>
      <w:tr>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科目名称</w:t>
            </w:r>
          </w:p>
        </w:tc>
        <w:tc>
          <w:tcPr>
            <w:tcW w:w="300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项目支出</w:t>
            </w:r>
          </w:p>
        </w:tc>
      </w:tr>
      <w:tr>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527"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492"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300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r>
      <w:tr>
        <w:tblPrEx>
          <w:tblCellMar>
            <w:top w:w="0" w:type="dxa"/>
            <w:left w:w="108" w:type="dxa"/>
            <w:bottom w:w="0" w:type="dxa"/>
            <w:right w:w="108" w:type="dxa"/>
          </w:tblCellMar>
        </w:tblPrEx>
        <w:trPr>
          <w:trHeight w:val="450" w:hRule="atLeast"/>
          <w:jc w:val="center"/>
        </w:trPr>
        <w:tc>
          <w:tcPr>
            <w:tcW w:w="472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300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8507.03</w:t>
            </w:r>
          </w:p>
        </w:tc>
        <w:tc>
          <w:tcPr>
            <w:tcW w:w="3492"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2292.37</w:t>
            </w:r>
          </w:p>
        </w:tc>
        <w:tc>
          <w:tcPr>
            <w:tcW w:w="300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6214.67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default"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lang w:val="en-US" w:eastAsia="zh-CN"/>
              </w:rPr>
              <w:t>201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1995.92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1790.59</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205.33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20103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政府办公厅（室）及相关机构事务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1883.27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1774.31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108.96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2010301</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 xml:space="preserve">  行政运行</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1725.06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1722.57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2.49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2010303</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 xml:space="preserve">  机关服务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51.74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51.74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2010306</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 xml:space="preserve">  政务公开审批</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2010308</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 xml:space="preserve">  信访事务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56.55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rPr>
              <w:t>56.55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2010399</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 xml:space="preserve">  其他政府办公厅（室）及相关机构事务支出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39.92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rPr>
              <w:t>39.92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20104</w:t>
            </w:r>
          </w:p>
        </w:tc>
        <w:tc>
          <w:tcPr>
            <w:tcW w:w="3527"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发展与改革事务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5</w:t>
            </w:r>
            <w:r>
              <w:rPr>
                <w:rFonts w:hint="eastAsia" w:ascii="Times New Roman" w:hAnsi="Times New Roman" w:eastAsia="仿宋_GB2312" w:cs="Times New Roman"/>
                <w:kern w:val="0"/>
                <w:szCs w:val="21"/>
                <w:highlight w:val="none"/>
                <w:lang w:val="en-US" w:eastAsia="zh-CN"/>
              </w:rPr>
              <w:t>.00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rPr>
              <w:t>5</w:t>
            </w:r>
            <w:r>
              <w:rPr>
                <w:rFonts w:hint="eastAsia" w:ascii="Times New Roman" w:hAnsi="Times New Roman" w:eastAsia="仿宋_GB2312" w:cs="Times New Roman"/>
                <w:kern w:val="0"/>
                <w:szCs w:val="21"/>
                <w:highlight w:val="none"/>
                <w:lang w:val="en-US" w:eastAsia="zh-CN"/>
              </w:rPr>
              <w:t>.00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2010499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其他发展与改革事务支出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5</w:t>
            </w:r>
            <w:r>
              <w:rPr>
                <w:rFonts w:hint="eastAsia" w:ascii="Times New Roman" w:hAnsi="Times New Roman" w:eastAsia="仿宋_GB2312" w:cs="Times New Roman"/>
                <w:kern w:val="0"/>
                <w:szCs w:val="21"/>
                <w:highlight w:val="none"/>
                <w:lang w:val="en-US" w:eastAsia="zh-CN"/>
              </w:rPr>
              <w:t>.00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rPr>
              <w:t>5</w:t>
            </w:r>
            <w:r>
              <w:rPr>
                <w:rFonts w:hint="eastAsia" w:ascii="Times New Roman" w:hAnsi="Times New Roman" w:eastAsia="仿宋_GB2312" w:cs="Times New Roman"/>
                <w:kern w:val="0"/>
                <w:szCs w:val="21"/>
                <w:highlight w:val="none"/>
                <w:lang w:val="en-US" w:eastAsia="zh-CN"/>
              </w:rPr>
              <w:t>.00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统计信息事务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14.00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2010505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专项统计业务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14.00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20129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群众团体事务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6.31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rPr>
              <w:t>6.31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2012999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其他群众团体事务支出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highlight w:val="none"/>
              </w:rPr>
              <w:t>6.31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highlight w:val="none"/>
              </w:rPr>
              <w:t>6.31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组织事务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2.34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rPr>
              <w:t>2.34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2013299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其他组织事务支出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2.34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rPr>
              <w:t>2.34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20134</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统战事务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4.05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rPr>
              <w:t>4.05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2013499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其他统战事务支出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4.05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rPr>
              <w:t>4.05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其他共产党事务支出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72.95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16.28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56.67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2013602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1.42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2013699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其他共产党事务支出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71.53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16.28</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55.25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20199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8.00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2019999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其他一般公共服务支出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8.00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8.00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公安</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18.84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18.84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公安</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2040299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其他公安支出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10.00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强制隔离戒毒</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2.44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2.44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2040802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一般行政管理事务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2.44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2.44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其他公共安全支出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6.40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6.40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2049999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其他公共安全支出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6.40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6.40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教育管理事务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2050199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其他教育管理事务支出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2059999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其他教育支出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9.23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9.23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文化和旅游</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2.98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2.98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2070199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其他文化和旅游支出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2.98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2.98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6.25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6.25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2079902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宣传文化发展专项支出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1.30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1.30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2079999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其他文化旅游体育与传媒支出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4.95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385.69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238.96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146.73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人力资源和社会保障管理事务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12.64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12.64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2080107</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社会保险业务管理事务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12.64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12.64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民政管理事务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43.84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43.84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2080208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基层政权建设和社区治理</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　</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2080299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其他民政管理事务支出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22.84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22.84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行政事业单位养老支出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205.32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205.32</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行政单位离退休</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109.27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109.27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机关事业单位基本养老保险缴费支出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76.84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76.84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2080506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机关事业单位职业年金缴费支出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19.21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19.21</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20807</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就业补助</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46.55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46.55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2080799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其他就业补助支出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46.55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46.55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抚恤</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33.64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33.64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2080899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其他优抚支出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33.64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33.64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退役安置</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1.40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2080999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其他退役安置支出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1.40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1.40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20819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最低生活保障</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29.55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29.55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2081901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城市最低生活保障金支出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26.90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26.90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2081902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农村最低生活保障金支出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2.65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2.65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20820</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临时救助</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8.75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8.75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2082001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临时救助支出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8.75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8.75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特困人员救助供养</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2082102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农村特困人员救助供养支出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2.50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2089999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其他社会保障和就业支出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2.50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2.50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卫生健康支出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190.36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122.63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67.73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21004</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公共卫生</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59.70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59.70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2100410</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突发公共卫生事件应急处理</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59.70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59.70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21007</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计划生育事务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2100717</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计划生育服务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行政事业单位医疗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122.63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122.63</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2101102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事业单位医疗</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81.46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81.46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2101103</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公务员医疗补助</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41.17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41.17</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医疗保障管理事务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4.02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2101599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其他医疗保障管理事务支出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4.02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4.02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节能环保支出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1035.33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1035.33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污染防治</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845.98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845.98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2110302</w:t>
            </w:r>
          </w:p>
        </w:tc>
        <w:tc>
          <w:tcPr>
            <w:tcW w:w="3527" w:type="dxa"/>
            <w:tcBorders>
              <w:top w:val="nil"/>
              <w:left w:val="nil"/>
              <w:bottom w:val="single" w:color="auto" w:sz="4" w:space="0"/>
              <w:right w:val="single" w:color="auto" w:sz="4" w:space="0"/>
            </w:tcBorders>
            <w:shd w:val="clear" w:color="auto" w:fill="auto"/>
            <w:vAlign w:val="center"/>
          </w:tcPr>
          <w:p>
            <w:pPr>
              <w:ind w:firstLine="240" w:firstLineChars="100"/>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eastAsia="zh-CN"/>
              </w:rPr>
              <w:t>水体</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775.98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775.98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2110307</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土壤</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18.93</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18.93</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2110399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其他污染防治支出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51.07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51.07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21104</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自然生态保护</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186.64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186.64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2110402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农村环境保护</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186.64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186.64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其他节能环保支出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2.71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2.71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2119999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其他节能环保支出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2.71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2.71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城乡社区支出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153.17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153.17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城乡社区管理事务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60.00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60.00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2120104</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城管执法</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60.00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60.00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城乡社区环境卫生</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42.00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2120501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城乡社区环境卫生</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42.00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其他城乡社区支出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51.17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51.17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2129999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其他城乡社区支出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51.17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51.17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农林水支出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4440.45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4440.45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农业农村</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375.72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375.72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2130108</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病虫害控制</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2.28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2.28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2130119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防灾救灾</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4.99</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4.99</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2130122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农业生产发展</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2.28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2.28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2130126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农村社会事业</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305.17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305.17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2130199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其他农业农村支出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61.00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61.00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21303</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水利</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10.55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10.55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2130316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农村水利</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1.28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2130399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其他水利支出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9.27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9.27</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扶贫</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244.42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244.42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2130599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其他扶贫支出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244.42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244.42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农村综合改革</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3685.81</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3685.81</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对村级公益事业建设的补助</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103.24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103.24</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2130705</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对村民委员会和村党支部的补助</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431.85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431.85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2130799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其他农村综合改革支出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3150.72</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3150.72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其他农林水支出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123.95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123.95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2139999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其他农林水支出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123.95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123.95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220</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自然资源海洋气象等支出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35.00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22001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自然资源事务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35.00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2200199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其他自然资源事务支出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35.00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35.00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住房保障支出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128.24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128.24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住房改革支出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128.24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128.24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2210201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住房公积金</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128.24</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128.24</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灾害防治及应急管理支出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39.95</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39.95</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22401</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应急管理事务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29.98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29.98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2240106</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安全监管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3.00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3.00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2240199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其他应急管理支出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26.98</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26.98</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22402</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消防事务</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7.96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7.96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2240299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其他消防事务支出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7.96</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7.96</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22407</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2240799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 xml:space="preserve">  其他自然灾害救灾及恢复重建支出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2.00</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2.00</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69.87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11.96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57.92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其他支出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69.87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11.96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57.92</w:t>
            </w:r>
          </w:p>
        </w:tc>
      </w:tr>
      <w:tr>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pPr>
              <w:pStyle w:val="2"/>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2299999</w:t>
            </w:r>
          </w:p>
        </w:tc>
        <w:tc>
          <w:tcPr>
            <w:tcW w:w="3527" w:type="dxa"/>
            <w:tcBorders>
              <w:top w:val="nil"/>
              <w:left w:val="nil"/>
              <w:bottom w:val="single" w:color="auto" w:sz="4" w:space="0"/>
              <w:right w:val="single" w:color="auto" w:sz="4" w:space="0"/>
            </w:tcBorders>
            <w:shd w:val="clear" w:color="auto" w:fill="auto"/>
            <w:vAlign w:val="center"/>
          </w:tcPr>
          <w:p>
            <w:pPr>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lang w:val="en-US" w:eastAsia="zh-CN"/>
              </w:rPr>
              <w:t xml:space="preserve">  其他支出</w:t>
            </w:r>
          </w:p>
        </w:tc>
        <w:tc>
          <w:tcPr>
            <w:tcW w:w="3000"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69.87</w:t>
            </w:r>
          </w:p>
        </w:tc>
        <w:tc>
          <w:tcPr>
            <w:tcW w:w="3492" w:type="dxa"/>
            <w:tcBorders>
              <w:top w:val="nil"/>
              <w:left w:val="nil"/>
              <w:bottom w:val="single" w:color="auto" w:sz="4"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11.96</w:t>
            </w:r>
          </w:p>
        </w:tc>
        <w:tc>
          <w:tcPr>
            <w:tcW w:w="3000" w:type="dxa"/>
            <w:tcBorders>
              <w:top w:val="nil"/>
              <w:left w:val="nil"/>
              <w:bottom w:val="single" w:color="auto" w:sz="4" w:space="0"/>
              <w:right w:val="single" w:color="auto" w:sz="8"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57.92</w:t>
            </w:r>
          </w:p>
        </w:tc>
      </w:tr>
      <w:tr>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注：本表反映部门本年度一般公共预算财政拨款支出情况。</w:t>
            </w:r>
          </w:p>
        </w:tc>
      </w:tr>
    </w:tbl>
    <w:p>
      <w:pPr>
        <w:widowControl/>
        <w:jc w:val="left"/>
        <w:rPr>
          <w:rFonts w:ascii="Times New Roman" w:hAnsi="Times New Roman" w:eastAsia="仿宋_GB2312" w:cs="Times New Roman"/>
          <w:bCs/>
          <w:kern w:val="0"/>
          <w:szCs w:val="21"/>
          <w:highlight w:val="none"/>
        </w:rPr>
      </w:pPr>
    </w:p>
    <w:p>
      <w:pPr>
        <w:widowControl/>
        <w:jc w:val="left"/>
        <w:rPr>
          <w:rFonts w:ascii="Times New Roman" w:hAnsi="Times New Roman" w:eastAsia="仿宋_GB2312" w:cs="Times New Roman"/>
          <w:bCs/>
          <w:kern w:val="0"/>
          <w:szCs w:val="21"/>
          <w:highlight w:val="none"/>
        </w:rPr>
      </w:pPr>
      <w:r>
        <w:rPr>
          <w:rFonts w:ascii="Times New Roman" w:hAnsi="Times New Roman" w:eastAsia="仿宋_GB2312" w:cs="Times New Roman"/>
          <w:bCs/>
          <w:kern w:val="0"/>
          <w:szCs w:val="21"/>
          <w:highlight w:val="none"/>
        </w:rPr>
        <w:br w:type="page"/>
      </w:r>
    </w:p>
    <w:tbl>
      <w:tblPr>
        <w:tblStyle w:val="6"/>
        <w:tblW w:w="0" w:type="auto"/>
        <w:tblInd w:w="0" w:type="dxa"/>
        <w:tblLayout w:type="autofit"/>
        <w:tblCellMar>
          <w:top w:w="0" w:type="dxa"/>
          <w:left w:w="108" w:type="dxa"/>
          <w:bottom w:w="0" w:type="dxa"/>
          <w:right w:w="108" w:type="dxa"/>
        </w:tblCellMar>
      </w:tblPr>
      <w:tblGrid>
        <w:gridCol w:w="1298"/>
        <w:gridCol w:w="3254"/>
        <w:gridCol w:w="875"/>
        <w:gridCol w:w="1186"/>
        <w:gridCol w:w="2241"/>
        <w:gridCol w:w="875"/>
        <w:gridCol w:w="945"/>
        <w:gridCol w:w="4064"/>
        <w:gridCol w:w="876"/>
      </w:tblGrid>
      <w:tr>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pPr>
              <w:widowControl/>
              <w:jc w:val="center"/>
              <w:rPr>
                <w:rFonts w:ascii="华文中宋" w:hAnsi="华文中宋" w:eastAsia="华文中宋" w:cs="宋体"/>
                <w:color w:val="000000"/>
                <w:kern w:val="0"/>
                <w:szCs w:val="32"/>
                <w:highlight w:val="none"/>
              </w:rPr>
            </w:pPr>
            <w:bookmarkStart w:id="2" w:name="RANGE!A1:I34"/>
            <w:r>
              <w:rPr>
                <w:rFonts w:hint="eastAsia" w:ascii="华文中宋" w:hAnsi="华文中宋" w:eastAsia="华文中宋" w:cs="宋体"/>
                <w:color w:val="000000"/>
                <w:kern w:val="0"/>
                <w:szCs w:val="32"/>
                <w:highlight w:val="none"/>
              </w:rPr>
              <w:t>一般公共预算财政拨款基本支出决算明细表</w:t>
            </w:r>
            <w:bookmarkEnd w:id="2"/>
          </w:p>
          <w:p>
            <w:pPr>
              <w:widowControl/>
              <w:wordWrap w:val="0"/>
              <w:jc w:val="right"/>
              <w:rPr>
                <w:rFonts w:ascii="Times New Roman" w:hAnsi="Times New Roman" w:eastAsia="仿宋_GB2312" w:cs="Times New Roman"/>
                <w:color w:val="000000"/>
                <w:kern w:val="0"/>
                <w:szCs w:val="21"/>
                <w:highlight w:val="none"/>
              </w:rPr>
            </w:pP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部门：</w:t>
            </w:r>
            <w:r>
              <w:rPr>
                <w:rFonts w:hint="eastAsia" w:ascii="Times New Roman" w:hAnsi="Times New Roman" w:eastAsia="仿宋_GB2312" w:cs="Times New Roman"/>
                <w:color w:val="000000"/>
                <w:kern w:val="0"/>
                <w:szCs w:val="21"/>
                <w:highlight w:val="none"/>
                <w:lang w:eastAsia="zh-CN"/>
              </w:rPr>
              <w:t>益阳市谢林港镇人民政府</w:t>
            </w: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公开06表</w:t>
            </w:r>
          </w:p>
          <w:p>
            <w:pPr>
              <w:widowControl/>
              <w:jc w:val="right"/>
              <w:rPr>
                <w:rFonts w:ascii="华文中宋" w:hAnsi="华文中宋" w:eastAsia="华文中宋" w:cs="宋体"/>
                <w:color w:val="000000"/>
                <w:kern w:val="0"/>
                <w:szCs w:val="32"/>
                <w:highlight w:val="none"/>
              </w:rPr>
            </w:pPr>
            <w:r>
              <w:rPr>
                <w:rFonts w:hint="eastAsia" w:ascii="Times New Roman" w:hAnsi="Times New Roman" w:eastAsia="仿宋_GB2312" w:cs="Times New Roman"/>
                <w:color w:val="000000"/>
                <w:kern w:val="0"/>
                <w:szCs w:val="21"/>
                <w:highlight w:val="none"/>
              </w:rPr>
              <w:t>单位：万元</w:t>
            </w:r>
          </w:p>
        </w:tc>
      </w:tr>
      <w:tr>
        <w:tblPrEx>
          <w:tblCellMar>
            <w:top w:w="0" w:type="dxa"/>
            <w:left w:w="108" w:type="dxa"/>
            <w:bottom w:w="0" w:type="dxa"/>
            <w:right w:w="108" w:type="dxa"/>
          </w:tblCellMar>
        </w:tblPrEx>
        <w:trPr>
          <w:trHeight w:val="113" w:hRule="atLeast"/>
        </w:trPr>
        <w:tc>
          <w:tcPr>
            <w:tcW w:w="13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 w:val="20"/>
                <w:szCs w:val="20"/>
                <w:highlight w:val="none"/>
              </w:rPr>
              <w:t>经济分类科目编码</w:t>
            </w:r>
          </w:p>
        </w:tc>
        <w:tc>
          <w:tcPr>
            <w:tcW w:w="336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科目名称</w:t>
            </w:r>
          </w:p>
        </w:tc>
        <w:tc>
          <w:tcPr>
            <w:tcW w:w="64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决算数</w:t>
            </w:r>
          </w:p>
        </w:tc>
        <w:tc>
          <w:tcPr>
            <w:tcW w:w="122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决算数</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工资福利支出</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1836.14</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289.100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基本工资</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322.15</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办公费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32.21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30701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津贴补贴</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227.22</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印刷费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3.00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30702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91"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奖金</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552.4</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咨询费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4.04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18.288</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伙食补助费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51.49</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手续费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绩效工资</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水费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4.96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14.57</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机关事业单位基本养老保险缴费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83.87</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电费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9.54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3.71</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职业年金缴费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19.21</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邮电费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7.75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职工基本医疗保险缴费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92.77</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取暖费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公务员医疗补助缴费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04.47</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物业管理费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30112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其他社会保障缴费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5.36</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差旅费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0.97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30113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住房公积金</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128.24</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因公出国（境）费用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31009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30114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医疗费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维修（护）费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31010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30199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其他工资福利支出</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335.97</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租赁费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0.47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31011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148.85</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会议费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4.94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31012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离休费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培训费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5.26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31013</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30302</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退休费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63.33</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公务接待费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31019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30303</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退职（役）费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30218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专用材料费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0.02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31021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30304</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抚恤金</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33.64</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被装购置费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31022</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30305</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生活补助</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专用燃料费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31099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30306</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救济费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劳务费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1.45</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30307</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医疗费补助</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委托业务费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44.91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39906</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30308</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助学金</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工会经费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39907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30309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奖励金</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30229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福利费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39908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30310</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个人农业生产补贴</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30231</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公务用车运行维护费</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14.34</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39999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30311</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代缴社会保险费</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30239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其他交通费用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58.88</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30399</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其他对个人和家庭的补助</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51.88</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30240</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税金及附加费用</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1338"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336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c>
          <w:tcPr>
            <w:tcW w:w="1222"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30299</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xml:space="preserve">  其他商品和服务支出</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83.97</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18"/>
                <w:highlight w:val="none"/>
              </w:rPr>
            </w:pPr>
            <w:r>
              <w:rPr>
                <w:rFonts w:hint="eastAsia" w:ascii="宋体" w:hAnsi="宋体" w:eastAsia="宋体" w:cs="宋体"/>
                <w:color w:val="000000"/>
                <w:kern w:val="0"/>
                <w:szCs w:val="18"/>
                <w:highlight w:val="none"/>
              </w:rPr>
              <w:t>　</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　</w:t>
            </w:r>
          </w:p>
        </w:tc>
      </w:tr>
      <w:tr>
        <w:tblPrEx>
          <w:tblCellMar>
            <w:top w:w="0" w:type="dxa"/>
            <w:left w:w="108" w:type="dxa"/>
            <w:bottom w:w="0" w:type="dxa"/>
            <w:right w:w="108" w:type="dxa"/>
          </w:tblCellMar>
        </w:tblPrEx>
        <w:trPr>
          <w:trHeight w:val="284" w:hRule="exact"/>
        </w:trPr>
        <w:tc>
          <w:tcPr>
            <w:tcW w:w="0" w:type="auto"/>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人员经费合计</w:t>
            </w:r>
          </w:p>
        </w:tc>
        <w:tc>
          <w:tcPr>
            <w:tcW w:w="647"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20"/>
                <w:highlight w:val="none"/>
                <w:lang w:val="en-US" w:eastAsia="zh-CN"/>
              </w:rPr>
            </w:pPr>
            <w:r>
              <w:rPr>
                <w:rFonts w:hint="eastAsia" w:ascii="宋体" w:hAnsi="宋体" w:eastAsia="宋体" w:cs="宋体"/>
                <w:color w:val="000000"/>
                <w:kern w:val="0"/>
                <w:szCs w:val="20"/>
                <w:highlight w:val="none"/>
                <w:lang w:val="en-US" w:eastAsia="zh-CN"/>
              </w:rPr>
              <w:t>1984.99</w:t>
            </w:r>
          </w:p>
        </w:tc>
        <w:tc>
          <w:tcPr>
            <w:tcW w:w="9615" w:type="dxa"/>
            <w:gridSpan w:val="5"/>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color w:val="000000"/>
                <w:kern w:val="0"/>
                <w:szCs w:val="20"/>
                <w:highlight w:val="none"/>
              </w:rPr>
            </w:pPr>
            <w:r>
              <w:rPr>
                <w:rFonts w:hint="eastAsia" w:ascii="宋体" w:hAnsi="宋体" w:eastAsia="宋体" w:cs="宋体"/>
                <w:color w:val="000000"/>
                <w:kern w:val="0"/>
                <w:szCs w:val="20"/>
                <w:highlight w:val="none"/>
              </w:rPr>
              <w:t>公用经费合计</w:t>
            </w:r>
          </w:p>
        </w:tc>
        <w:tc>
          <w:tcPr>
            <w:tcW w:w="0" w:type="auto"/>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eastAsia="宋体" w:cs="宋体"/>
                <w:color w:val="000000"/>
                <w:kern w:val="0"/>
                <w:szCs w:val="18"/>
                <w:highlight w:val="none"/>
                <w:lang w:val="en-US" w:eastAsia="zh-CN"/>
              </w:rPr>
            </w:pPr>
            <w:r>
              <w:rPr>
                <w:rFonts w:hint="eastAsia" w:ascii="宋体" w:hAnsi="宋体" w:eastAsia="宋体" w:cs="宋体"/>
                <w:color w:val="000000"/>
                <w:kern w:val="0"/>
                <w:szCs w:val="18"/>
                <w:highlight w:val="none"/>
                <w:lang w:val="en-US" w:eastAsia="zh-CN"/>
              </w:rPr>
              <w:t>307.388</w:t>
            </w:r>
          </w:p>
        </w:tc>
      </w:tr>
      <w:tr>
        <w:trPr>
          <w:trHeight w:val="284" w:hRule="exact"/>
        </w:trPr>
        <w:tc>
          <w:tcPr>
            <w:tcW w:w="0" w:type="auto"/>
            <w:gridSpan w:val="9"/>
            <w:tcBorders>
              <w:top w:val="nil"/>
              <w:left w:val="nil"/>
              <w:bottom w:val="nil"/>
              <w:right w:val="nil"/>
            </w:tcBorders>
            <w:shd w:val="clear" w:color="auto" w:fill="auto"/>
            <w:noWrap/>
            <w:vAlign w:val="center"/>
          </w:tcPr>
          <w:p>
            <w:pPr>
              <w:widowControl/>
              <w:jc w:val="left"/>
              <w:rPr>
                <w:rFonts w:ascii="宋体" w:hAnsi="宋体" w:eastAsia="宋体" w:cs="宋体"/>
                <w:color w:val="000000"/>
                <w:kern w:val="0"/>
                <w:szCs w:val="24"/>
                <w:highlight w:val="none"/>
              </w:rPr>
            </w:pPr>
            <w:r>
              <w:rPr>
                <w:rFonts w:hint="eastAsia" w:ascii="宋体" w:hAnsi="宋体" w:eastAsia="宋体" w:cs="宋体"/>
                <w:color w:val="000000"/>
                <w:kern w:val="0"/>
                <w:szCs w:val="24"/>
                <w:highlight w:val="none"/>
              </w:rPr>
              <w:t>注：本表反映部门本年度一般公共预算财政拨款基本支出明细情况。</w:t>
            </w:r>
          </w:p>
        </w:tc>
      </w:tr>
    </w:tbl>
    <w:p>
      <w:pPr>
        <w:widowControl/>
        <w:jc w:val="center"/>
        <w:rPr>
          <w:rFonts w:ascii="Times New Roman" w:hAnsi="Times New Roman" w:eastAsia="方正小标宋_GBK" w:cs="Times New Roman"/>
          <w:color w:val="000000"/>
          <w:kern w:val="0"/>
          <w:sz w:val="36"/>
          <w:szCs w:val="36"/>
          <w:highlight w:val="none"/>
        </w:rPr>
      </w:pPr>
      <w:r>
        <w:rPr>
          <w:rFonts w:hint="eastAsia" w:ascii="Times New Roman" w:hAnsi="Times New Roman" w:eastAsia="方正小标宋_GBK" w:cs="Times New Roman"/>
          <w:color w:val="000000"/>
          <w:kern w:val="0"/>
          <w:sz w:val="36"/>
          <w:szCs w:val="36"/>
          <w:highlight w:val="none"/>
        </w:rPr>
        <w:t>一般公共预算财政拨款“三公”经费支出决算表</w:t>
      </w:r>
    </w:p>
    <w:p>
      <w:pPr>
        <w:widowControl/>
        <w:jc w:val="lef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部门：</w:t>
      </w:r>
      <w:r>
        <w:rPr>
          <w:rFonts w:hint="eastAsia" w:ascii="Times New Roman" w:hAnsi="Times New Roman" w:eastAsia="仿宋_GB2312" w:cs="Times New Roman"/>
          <w:color w:val="000000"/>
          <w:kern w:val="0"/>
          <w:szCs w:val="21"/>
          <w:highlight w:val="none"/>
          <w:lang w:eastAsia="zh-CN"/>
        </w:rPr>
        <w:t>益阳市谢林港镇人民政府</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lang w:val="en-US" w:eastAsia="zh-CN"/>
        </w:rPr>
        <w:t xml:space="preserve">         </w:t>
      </w:r>
      <w:r>
        <w:rPr>
          <w:rFonts w:ascii="Times New Roman" w:hAnsi="Times New Roman" w:eastAsia="仿宋_GB2312" w:cs="Times New Roman"/>
          <w:color w:val="000000"/>
          <w:kern w:val="0"/>
          <w:szCs w:val="21"/>
          <w:highlight w:val="none"/>
        </w:rPr>
        <w:t xml:space="preserve">                                                             </w:t>
      </w:r>
      <w:r>
        <w:rPr>
          <w:rFonts w:hint="eastAsia" w:ascii="Times New Roman" w:hAnsi="Times New Roman" w:eastAsia="仿宋_GB2312" w:cs="Times New Roman"/>
          <w:color w:val="000000"/>
          <w:kern w:val="0"/>
          <w:szCs w:val="21"/>
          <w:highlight w:val="none"/>
        </w:rPr>
        <w:t xml:space="preserve">         </w:t>
      </w:r>
      <w:r>
        <w:rPr>
          <w:rFonts w:ascii="Times New Roman" w:hAnsi="Times New Roman" w:eastAsia="仿宋_GB2312" w:cs="Times New Roman"/>
          <w:color w:val="000000"/>
          <w:kern w:val="0"/>
          <w:szCs w:val="21"/>
          <w:highlight w:val="none"/>
        </w:rPr>
        <w:t xml:space="preserve">       公开0</w:t>
      </w:r>
      <w:r>
        <w:rPr>
          <w:rFonts w:hint="eastAsia" w:ascii="Times New Roman" w:hAnsi="Times New Roman" w:eastAsia="仿宋_GB2312" w:cs="Times New Roman"/>
          <w:color w:val="000000"/>
          <w:kern w:val="0"/>
          <w:szCs w:val="21"/>
          <w:highlight w:val="none"/>
        </w:rPr>
        <w:t>7</w:t>
      </w:r>
      <w:r>
        <w:rPr>
          <w:rFonts w:ascii="Times New Roman" w:hAnsi="Times New Roman" w:eastAsia="仿宋_GB2312" w:cs="Times New Roman"/>
          <w:color w:val="000000"/>
          <w:kern w:val="0"/>
          <w:szCs w:val="21"/>
          <w:highlight w:val="none"/>
        </w:rPr>
        <w:t>表</w:t>
      </w:r>
    </w:p>
    <w:p>
      <w:pPr>
        <w:widowControl/>
        <w:ind w:right="420"/>
        <w:jc w:val="righ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决算数</w:t>
            </w:r>
          </w:p>
        </w:tc>
      </w:tr>
      <w:tr>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w:t>
            </w:r>
          </w:p>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w:t>
            </w:r>
          </w:p>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接待费</w:t>
            </w:r>
          </w:p>
        </w:tc>
      </w:tr>
      <w:tr>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运行费</w:t>
            </w:r>
          </w:p>
        </w:tc>
        <w:tc>
          <w:tcPr>
            <w:tcW w:w="1220" w:type="dxa"/>
            <w:vMerge w:val="continue"/>
            <w:tcBorders>
              <w:top w:val="nil"/>
              <w:left w:val="single" w:color="auto" w:sz="4" w:space="0"/>
              <w:bottom w:val="single" w:color="auto"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vMerge w:val="continue"/>
            <w:tcBorders>
              <w:top w:val="nil"/>
              <w:left w:val="nil"/>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vMerge w:val="continue"/>
            <w:tcBorders>
              <w:top w:val="nil"/>
              <w:left w:val="single" w:color="auto" w:sz="4" w:space="0"/>
              <w:bottom w:val="single" w:color="000000" w:sz="4" w:space="0"/>
              <w:right w:val="single" w:color="auto" w:sz="4" w:space="0"/>
            </w:tcBorders>
            <w:vAlign w:val="center"/>
          </w:tcPr>
          <w:p>
            <w:pPr>
              <w:widowControl/>
              <w:jc w:val="left"/>
              <w:rPr>
                <w:rFonts w:ascii="Times New Roman" w:hAnsi="Times New Roman" w:eastAsia="仿宋_GB2312" w:cs="Times New Roman"/>
                <w:kern w:val="0"/>
                <w:szCs w:val="21"/>
                <w:highlight w:val="none"/>
              </w:rPr>
            </w:pP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小计</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购置费</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公务用车</w:t>
            </w:r>
            <w:r>
              <w:rPr>
                <w:rFonts w:ascii="Times New Roman" w:hAnsi="Times New Roman" w:eastAsia="仿宋_GB2312" w:cs="Times New Roman"/>
                <w:kern w:val="0"/>
                <w:szCs w:val="21"/>
                <w:highlight w:val="none"/>
              </w:rPr>
              <w:br w:type="textWrapping"/>
            </w:r>
            <w:r>
              <w:rPr>
                <w:rFonts w:ascii="Times New Roman" w:hAnsi="Times New Roman" w:eastAsia="仿宋_GB2312" w:cs="Times New Roman"/>
                <w:kern w:val="0"/>
                <w:szCs w:val="21"/>
                <w:highlight w:val="none"/>
              </w:rPr>
              <w:t>运行费</w:t>
            </w:r>
          </w:p>
        </w:tc>
        <w:tc>
          <w:tcPr>
            <w:tcW w:w="1220" w:type="dxa"/>
            <w:vMerge w:val="continue"/>
            <w:tcBorders>
              <w:top w:val="nil"/>
              <w:left w:val="single" w:color="auto" w:sz="4" w:space="0"/>
              <w:bottom w:val="single" w:color="000000" w:sz="4" w:space="0"/>
              <w:right w:val="single" w:color="auto" w:sz="8" w:space="0"/>
            </w:tcBorders>
            <w:vAlign w:val="center"/>
          </w:tcPr>
          <w:p>
            <w:pPr>
              <w:widowControl/>
              <w:jc w:val="left"/>
              <w:rPr>
                <w:rFonts w:ascii="Times New Roman" w:hAnsi="Times New Roman" w:eastAsia="仿宋_GB2312" w:cs="Times New Roman"/>
                <w:kern w:val="0"/>
                <w:szCs w:val="21"/>
                <w:highlight w:val="none"/>
              </w:rPr>
            </w:pP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7</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8</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9</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10</w:t>
            </w:r>
          </w:p>
        </w:tc>
        <w:tc>
          <w:tcPr>
            <w:tcW w:w="1220" w:type="dxa"/>
            <w:tcBorders>
              <w:top w:val="nil"/>
              <w:left w:val="nil"/>
              <w:bottom w:val="single" w:color="auto" w:sz="4" w:space="0"/>
              <w:right w:val="single" w:color="auto" w:sz="4"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11</w:t>
            </w:r>
          </w:p>
        </w:tc>
        <w:tc>
          <w:tcPr>
            <w:tcW w:w="1220" w:type="dxa"/>
            <w:tcBorders>
              <w:top w:val="nil"/>
              <w:left w:val="nil"/>
              <w:bottom w:val="single" w:color="auto" w:sz="4" w:space="0"/>
              <w:right w:val="single" w:color="auto" w:sz="8" w:space="0"/>
            </w:tcBorders>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12</w:t>
            </w:r>
          </w:p>
        </w:tc>
      </w:tr>
      <w:tr>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29</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eastAsia" w:ascii="Times New Roman" w:hAnsi="Times New Roman" w:eastAsia="仿宋_GB2312" w:cs="Times New Roman"/>
                <w:kern w:val="0"/>
                <w:szCs w:val="21"/>
                <w:highlight w:val="none"/>
                <w:lang w:eastAsia="zh-CN"/>
              </w:rPr>
            </w:pPr>
            <w:r>
              <w:rPr>
                <w:rFonts w:hint="eastAsia" w:ascii="Times New Roman" w:hAnsi="Times New Roman" w:eastAsia="仿宋_GB2312" w:cs="Times New Roman"/>
                <w:kern w:val="0"/>
                <w:szCs w:val="21"/>
                <w:highlight w:val="none"/>
                <w:lang w:val="en-US" w:eastAsia="zh-CN"/>
              </w:rPr>
              <w:t>8</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14.41</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14.34</w:t>
            </w:r>
          </w:p>
        </w:tc>
        <w:tc>
          <w:tcPr>
            <w:tcW w:w="1220" w:type="dxa"/>
            <w:tcBorders>
              <w:top w:val="nil"/>
              <w:left w:val="nil"/>
              <w:bottom w:val="single" w:color="auto" w:sz="8" w:space="0"/>
              <w:right w:val="single" w:color="auto" w:sz="4" w:space="0"/>
            </w:tcBorders>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1220" w:type="dxa"/>
            <w:tcBorders>
              <w:top w:val="nil"/>
              <w:left w:val="nil"/>
              <w:bottom w:val="single" w:color="auto" w:sz="8" w:space="0"/>
              <w:right w:val="nil"/>
            </w:tcBorders>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14.34</w:t>
            </w:r>
          </w:p>
        </w:tc>
        <w:tc>
          <w:tcPr>
            <w:tcW w:w="1220" w:type="dxa"/>
            <w:tcBorders>
              <w:top w:val="nil"/>
              <w:left w:val="single" w:color="auto" w:sz="4" w:space="0"/>
              <w:bottom w:val="single" w:color="auto" w:sz="8" w:space="0"/>
              <w:right w:val="single" w:color="auto" w:sz="8" w:space="0"/>
            </w:tcBorders>
            <w:shd w:val="clear" w:color="auto" w:fill="auto"/>
            <w:vAlign w:val="center"/>
          </w:tcPr>
          <w:p>
            <w:pPr>
              <w:widowControl/>
              <w:jc w:val="left"/>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0.07</w:t>
            </w:r>
          </w:p>
        </w:tc>
      </w:tr>
    </w:tbl>
    <w:p>
      <w:pPr>
        <w:widowControl/>
        <w:jc w:val="left"/>
        <w:rPr>
          <w:rFonts w:ascii="宋体" w:eastAsia="宋体" w:cs="宋体"/>
          <w:kern w:val="0"/>
          <w:sz w:val="24"/>
          <w:szCs w:val="24"/>
          <w:highlight w:val="none"/>
        </w:rPr>
      </w:pPr>
      <w:r>
        <w:rPr>
          <w:rFonts w:hint="eastAsia" w:ascii="宋体" w:eastAsia="宋体" w:cs="宋体"/>
          <w:kern w:val="0"/>
          <w:sz w:val="24"/>
          <w:szCs w:val="24"/>
          <w:highlight w:val="none"/>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highlight w:val="none"/>
        </w:rPr>
        <w:br w:type="page"/>
      </w:r>
    </w:p>
    <w:p>
      <w:pPr>
        <w:autoSpaceDE w:val="0"/>
        <w:autoSpaceDN w:val="0"/>
        <w:adjustRightInd w:val="0"/>
        <w:ind w:left="315" w:leftChars="150"/>
        <w:jc w:val="left"/>
        <w:rPr>
          <w:rFonts w:ascii="宋体" w:eastAsia="宋体" w:cs="宋体"/>
          <w:kern w:val="0"/>
          <w:sz w:val="24"/>
          <w:szCs w:val="24"/>
          <w:highlight w:val="none"/>
        </w:rPr>
      </w:pPr>
    </w:p>
    <w:p>
      <w:pPr>
        <w:widowControl/>
        <w:jc w:val="center"/>
        <w:rPr>
          <w:rFonts w:ascii="Times New Roman" w:hAnsi="Times New Roman" w:eastAsia="方正小标宋_GBK" w:cs="Times New Roman"/>
          <w:kern w:val="0"/>
          <w:sz w:val="36"/>
          <w:szCs w:val="36"/>
          <w:highlight w:val="none"/>
        </w:rPr>
      </w:pPr>
      <w:r>
        <w:rPr>
          <w:rFonts w:ascii="Times New Roman" w:hAnsi="Times New Roman" w:eastAsia="方正小标宋_GBK" w:cs="Times New Roman"/>
          <w:kern w:val="0"/>
          <w:sz w:val="36"/>
          <w:szCs w:val="36"/>
          <w:highlight w:val="none"/>
        </w:rPr>
        <w:t>政府性基金预算财政拨款收入支出决算表</w:t>
      </w:r>
    </w:p>
    <w:p>
      <w:pPr>
        <w:widowControl/>
        <w:wordWrap w:val="0"/>
        <w:ind w:firstLine="420" w:firstLineChars="200"/>
        <w:jc w:val="both"/>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部门：</w:t>
      </w:r>
      <w:r>
        <w:rPr>
          <w:rFonts w:hint="eastAsia" w:ascii="Times New Roman" w:hAnsi="Times New Roman" w:eastAsia="仿宋_GB2312" w:cs="Times New Roman"/>
          <w:color w:val="000000"/>
          <w:kern w:val="0"/>
          <w:szCs w:val="21"/>
          <w:highlight w:val="none"/>
          <w:lang w:eastAsia="zh-CN"/>
        </w:rPr>
        <w:t>益阳市谢林港镇人民政府</w:t>
      </w:r>
      <w:r>
        <w:rPr>
          <w:rFonts w:ascii="Times New Roman" w:hAnsi="Times New Roman" w:eastAsia="仿宋_GB2312" w:cs="Times New Roman"/>
          <w:color w:val="000000"/>
          <w:kern w:val="0"/>
          <w:szCs w:val="21"/>
          <w:highlight w:val="none"/>
        </w:rPr>
        <w:t xml:space="preserve">                                                                                              公开08表</w:t>
      </w:r>
    </w:p>
    <w:p>
      <w:pPr>
        <w:widowControl/>
        <w:jc w:val="right"/>
        <w:rPr>
          <w:rFonts w:ascii="Times New Roman" w:hAnsi="Times New Roman" w:eastAsia="仿宋_GB2312" w:cs="Times New Roman"/>
          <w:color w:val="000000"/>
          <w:kern w:val="0"/>
          <w:szCs w:val="21"/>
          <w:highlight w:val="none"/>
        </w:rPr>
      </w:pPr>
      <w:r>
        <w:rPr>
          <w:rFonts w:ascii="Times New Roman" w:hAnsi="Times New Roman" w:eastAsia="仿宋_GB2312" w:cs="Times New Roman"/>
          <w:color w:val="000000"/>
          <w:kern w:val="0"/>
          <w:szCs w:val="21"/>
          <w:highlight w:val="none"/>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2142"/>
        <w:gridCol w:w="1178"/>
        <w:gridCol w:w="2000"/>
        <w:gridCol w:w="2000"/>
        <w:gridCol w:w="2000"/>
        <w:gridCol w:w="2000"/>
        <w:gridCol w:w="200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3262" w:type="dxa"/>
            <w:gridSpan w:val="2"/>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 xml:space="preserve">项 </w:t>
            </w:r>
            <w:r>
              <w:rPr>
                <w:rFonts w:ascii="Times New Roman" w:hAnsi="Times New Roman" w:eastAsia="仿宋_GB2312" w:cs="Times New Roman"/>
                <w:b/>
                <w:color w:val="000000"/>
                <w:kern w:val="0"/>
                <w:szCs w:val="21"/>
                <w:highlight w:val="none"/>
              </w:rPr>
              <w:t xml:space="preserve">   </w:t>
            </w:r>
            <w:r>
              <w:rPr>
                <w:rFonts w:ascii="Times New Roman" w:hAnsi="Times New Roman" w:eastAsia="仿宋_GB2312" w:cs="Times New Roman"/>
                <w:b/>
                <w:kern w:val="0"/>
                <w:szCs w:val="21"/>
                <w:highlight w:val="none"/>
              </w:rPr>
              <w:t>目</w:t>
            </w:r>
          </w:p>
        </w:tc>
        <w:tc>
          <w:tcPr>
            <w:tcW w:w="1178"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年初结转和结余</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本年收入</w:t>
            </w:r>
          </w:p>
        </w:tc>
        <w:tc>
          <w:tcPr>
            <w:tcW w:w="6000" w:type="dxa"/>
            <w:gridSpan w:val="3"/>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本年支出</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年末结转和结余</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功能分类科目编码</w:t>
            </w:r>
          </w:p>
        </w:tc>
        <w:tc>
          <w:tcPr>
            <w:tcW w:w="2142"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科目名称</w:t>
            </w:r>
          </w:p>
        </w:tc>
        <w:tc>
          <w:tcPr>
            <w:tcW w:w="1178" w:type="dxa"/>
            <w:vMerge w:val="continue"/>
            <w:vAlign w:val="center"/>
          </w:tcPr>
          <w:p>
            <w:pPr>
              <w:widowControl/>
              <w:jc w:val="left"/>
              <w:rPr>
                <w:rFonts w:ascii="Times New Roman" w:hAnsi="Times New Roman" w:eastAsia="仿宋_GB2312" w:cs="Times New Roman"/>
                <w:b/>
                <w:kern w:val="0"/>
                <w:szCs w:val="21"/>
                <w:highlight w:val="none"/>
              </w:rPr>
            </w:pPr>
          </w:p>
        </w:tc>
        <w:tc>
          <w:tcPr>
            <w:tcW w:w="2000" w:type="dxa"/>
            <w:vMerge w:val="continue"/>
            <w:vAlign w:val="center"/>
          </w:tcPr>
          <w:p>
            <w:pPr>
              <w:widowControl/>
              <w:jc w:val="left"/>
              <w:rPr>
                <w:rFonts w:ascii="Times New Roman" w:hAnsi="Times New Roman" w:eastAsia="仿宋_GB2312" w:cs="Times New Roman"/>
                <w:b/>
                <w:kern w:val="0"/>
                <w:szCs w:val="21"/>
                <w:highlight w:val="none"/>
              </w:rPr>
            </w:pP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小计</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 xml:space="preserve">基本支出  </w:t>
            </w:r>
          </w:p>
        </w:tc>
        <w:tc>
          <w:tcPr>
            <w:tcW w:w="2000" w:type="dxa"/>
            <w:vMerge w:val="restart"/>
            <w:shd w:val="clear" w:color="auto" w:fill="auto"/>
            <w:vAlign w:val="center"/>
          </w:tcPr>
          <w:p>
            <w:pPr>
              <w:widowControl/>
              <w:jc w:val="center"/>
              <w:rPr>
                <w:rFonts w:ascii="Times New Roman" w:hAnsi="Times New Roman" w:eastAsia="仿宋_GB2312" w:cs="Times New Roman"/>
                <w:b/>
                <w:kern w:val="0"/>
                <w:szCs w:val="21"/>
                <w:highlight w:val="none"/>
              </w:rPr>
            </w:pPr>
            <w:r>
              <w:rPr>
                <w:rFonts w:ascii="Times New Roman" w:hAnsi="Times New Roman" w:eastAsia="仿宋_GB2312" w:cs="Times New Roman"/>
                <w:b/>
                <w:kern w:val="0"/>
                <w:szCs w:val="21"/>
                <w:highlight w:val="none"/>
              </w:rPr>
              <w:t>项目支出</w:t>
            </w:r>
          </w:p>
        </w:tc>
        <w:tc>
          <w:tcPr>
            <w:tcW w:w="2000" w:type="dxa"/>
            <w:vMerge w:val="continue"/>
            <w:vAlign w:val="center"/>
          </w:tcPr>
          <w:p>
            <w:pPr>
              <w:widowControl/>
              <w:jc w:val="left"/>
              <w:rPr>
                <w:rFonts w:ascii="Times New Roman" w:hAnsi="Times New Roman" w:eastAsia="仿宋_GB2312" w:cs="Times New Roman"/>
                <w:b/>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highlight w:val="none"/>
              </w:rPr>
            </w:pPr>
          </w:p>
        </w:tc>
        <w:tc>
          <w:tcPr>
            <w:tcW w:w="2142" w:type="dxa"/>
            <w:vMerge w:val="continue"/>
            <w:vAlign w:val="center"/>
          </w:tcPr>
          <w:p>
            <w:pPr>
              <w:widowControl/>
              <w:jc w:val="left"/>
              <w:rPr>
                <w:rFonts w:ascii="Times New Roman" w:hAnsi="Times New Roman" w:eastAsia="仿宋_GB2312" w:cs="Times New Roman"/>
                <w:kern w:val="0"/>
                <w:szCs w:val="21"/>
                <w:highlight w:val="none"/>
              </w:rPr>
            </w:pPr>
          </w:p>
        </w:tc>
        <w:tc>
          <w:tcPr>
            <w:tcW w:w="1178"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vMerge w:val="continue"/>
            <w:vAlign w:val="center"/>
          </w:tcPr>
          <w:p>
            <w:pPr>
              <w:widowControl/>
              <w:jc w:val="left"/>
              <w:rPr>
                <w:rFonts w:ascii="Times New Roman" w:hAnsi="Times New Roman" w:eastAsia="仿宋_GB2312" w:cs="Times New Roman"/>
                <w:kern w:val="0"/>
                <w:szCs w:val="21"/>
                <w:highlight w:val="none"/>
              </w:rPr>
            </w:pPr>
          </w:p>
        </w:tc>
        <w:tc>
          <w:tcPr>
            <w:tcW w:w="2142" w:type="dxa"/>
            <w:vMerge w:val="continue"/>
            <w:vAlign w:val="center"/>
          </w:tcPr>
          <w:p>
            <w:pPr>
              <w:widowControl/>
              <w:jc w:val="left"/>
              <w:rPr>
                <w:rFonts w:ascii="Times New Roman" w:hAnsi="Times New Roman" w:eastAsia="仿宋_GB2312" w:cs="Times New Roman"/>
                <w:kern w:val="0"/>
                <w:szCs w:val="21"/>
                <w:highlight w:val="none"/>
              </w:rPr>
            </w:pPr>
          </w:p>
        </w:tc>
        <w:tc>
          <w:tcPr>
            <w:tcW w:w="1178"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c>
          <w:tcPr>
            <w:tcW w:w="2000" w:type="dxa"/>
            <w:vMerge w:val="continue"/>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3262" w:type="dxa"/>
            <w:gridSpan w:val="2"/>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栏次</w:t>
            </w:r>
          </w:p>
        </w:tc>
        <w:tc>
          <w:tcPr>
            <w:tcW w:w="1178"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1</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2</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3</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4</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5</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6</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3262" w:type="dxa"/>
            <w:gridSpan w:val="2"/>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合计</w:t>
            </w:r>
          </w:p>
        </w:tc>
        <w:tc>
          <w:tcPr>
            <w:tcW w:w="1178"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1307.04</w:t>
            </w:r>
          </w:p>
        </w:tc>
        <w:tc>
          <w:tcPr>
            <w:tcW w:w="2000" w:type="dxa"/>
            <w:shd w:val="clear" w:color="auto" w:fill="auto"/>
            <w:vAlign w:val="center"/>
          </w:tcPr>
          <w:p>
            <w:pPr>
              <w:widowControl/>
              <w:jc w:val="center"/>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1307.04</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lang w:val="en-US" w:eastAsia="zh-CN"/>
              </w:rPr>
              <w:t>1307.04</w:t>
            </w:r>
          </w:p>
        </w:tc>
        <w:tc>
          <w:tcPr>
            <w:tcW w:w="2000" w:type="dxa"/>
            <w:shd w:val="clear" w:color="auto" w:fill="auto"/>
            <w:vAlign w:val="center"/>
          </w:tcPr>
          <w:p>
            <w:pPr>
              <w:widowControl/>
              <w:jc w:val="center"/>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212</w:t>
            </w:r>
          </w:p>
        </w:tc>
        <w:tc>
          <w:tcPr>
            <w:tcW w:w="2142"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城乡社区支出</w:t>
            </w:r>
          </w:p>
        </w:tc>
        <w:tc>
          <w:tcPr>
            <w:tcW w:w="1178"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2000" w:type="dxa"/>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1302.04</w:t>
            </w:r>
          </w:p>
        </w:tc>
        <w:tc>
          <w:tcPr>
            <w:tcW w:w="2000" w:type="dxa"/>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1302.04</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c>
          <w:tcPr>
            <w:tcW w:w="2000" w:type="dxa"/>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1302.04</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　</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21208</w:t>
            </w:r>
          </w:p>
        </w:tc>
        <w:tc>
          <w:tcPr>
            <w:tcW w:w="2142"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国有土地使用权出让收入安排的支出</w:t>
            </w:r>
          </w:p>
        </w:tc>
        <w:tc>
          <w:tcPr>
            <w:tcW w:w="1178"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1152.04</w:t>
            </w: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1152.04</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1152.04</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2120801</w:t>
            </w:r>
          </w:p>
        </w:tc>
        <w:tc>
          <w:tcPr>
            <w:tcW w:w="2142"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 xml:space="preserve">  征地和拆迁补偿支出</w:t>
            </w:r>
          </w:p>
        </w:tc>
        <w:tc>
          <w:tcPr>
            <w:tcW w:w="1178"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58.95</w:t>
            </w: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58.95</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58.95</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2120803</w:t>
            </w:r>
          </w:p>
        </w:tc>
        <w:tc>
          <w:tcPr>
            <w:tcW w:w="2142"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 xml:space="preserve">  城市建设支出</w:t>
            </w:r>
          </w:p>
        </w:tc>
        <w:tc>
          <w:tcPr>
            <w:tcW w:w="1178"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799.09</w:t>
            </w: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799.09</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799.09</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2120804</w:t>
            </w:r>
          </w:p>
        </w:tc>
        <w:tc>
          <w:tcPr>
            <w:tcW w:w="2142"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 xml:space="preserve">  农村基础设施建设支出</w:t>
            </w:r>
          </w:p>
        </w:tc>
        <w:tc>
          <w:tcPr>
            <w:tcW w:w="1178"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240.00</w:t>
            </w: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240.00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240.00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2120899</w:t>
            </w:r>
          </w:p>
        </w:tc>
        <w:tc>
          <w:tcPr>
            <w:tcW w:w="2142"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 xml:space="preserve">  其他国有土地使用权出让收入安排的支出</w:t>
            </w:r>
          </w:p>
        </w:tc>
        <w:tc>
          <w:tcPr>
            <w:tcW w:w="1178"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54.00</w:t>
            </w: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54.00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54.00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21213</w:t>
            </w:r>
          </w:p>
        </w:tc>
        <w:tc>
          <w:tcPr>
            <w:tcW w:w="2142"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城市基础设施配套费安排的支出</w:t>
            </w:r>
          </w:p>
        </w:tc>
        <w:tc>
          <w:tcPr>
            <w:tcW w:w="1178"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150.00</w:t>
            </w: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150.00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150.00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2121301</w:t>
            </w:r>
          </w:p>
        </w:tc>
        <w:tc>
          <w:tcPr>
            <w:tcW w:w="2142"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rPr>
              <w:t xml:space="preserve">  城市公共设施</w:t>
            </w:r>
          </w:p>
        </w:tc>
        <w:tc>
          <w:tcPr>
            <w:tcW w:w="1178" w:type="dxa"/>
            <w:shd w:val="clear" w:color="auto" w:fill="auto"/>
            <w:vAlign w:val="center"/>
          </w:tcPr>
          <w:p>
            <w:pPr>
              <w:widowControl/>
              <w:jc w:val="left"/>
              <w:rPr>
                <w:rFonts w:hint="eastAsia" w:ascii="Times New Roman" w:hAnsi="Times New Roman" w:eastAsia="仿宋_GB2312" w:cs="Times New Roman"/>
                <w:kern w:val="0"/>
                <w:szCs w:val="21"/>
                <w:highlight w:val="none"/>
                <w:lang w:val="en-US" w:eastAsia="zh-CN"/>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150.00</w:t>
            </w: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150.00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hint="eastAsia"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150.00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234</w:t>
            </w:r>
          </w:p>
        </w:tc>
        <w:tc>
          <w:tcPr>
            <w:tcW w:w="2142" w:type="dxa"/>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抗疫特别国债安排的支出</w:t>
            </w:r>
          </w:p>
        </w:tc>
        <w:tc>
          <w:tcPr>
            <w:tcW w:w="1178"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5.00</w:t>
            </w:r>
          </w:p>
        </w:tc>
        <w:tc>
          <w:tcPr>
            <w:tcW w:w="2000" w:type="dxa"/>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hint="default"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501" w:hRule="atLeast"/>
          <w:jc w:val="center"/>
        </w:trPr>
        <w:tc>
          <w:tcPr>
            <w:tcW w:w="1120" w:type="dxa"/>
            <w:shd w:val="clear" w:color="auto" w:fill="auto"/>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23402</w:t>
            </w:r>
          </w:p>
        </w:tc>
        <w:tc>
          <w:tcPr>
            <w:tcW w:w="2142" w:type="dxa"/>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抗疫相关支出</w:t>
            </w:r>
          </w:p>
        </w:tc>
        <w:tc>
          <w:tcPr>
            <w:tcW w:w="1178"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5.00</w:t>
            </w:r>
          </w:p>
        </w:tc>
        <w:tc>
          <w:tcPr>
            <w:tcW w:w="2000" w:type="dxa"/>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54" w:hRule="atLeast"/>
          <w:jc w:val="center"/>
        </w:trPr>
        <w:tc>
          <w:tcPr>
            <w:tcW w:w="1120" w:type="dxa"/>
            <w:shd w:val="clear" w:color="auto" w:fill="auto"/>
            <w:vAlign w:val="center"/>
          </w:tcPr>
          <w:p>
            <w:pPr>
              <w:widowControl/>
              <w:jc w:val="center"/>
              <w:rPr>
                <w:rFonts w:hint="default" w:ascii="Times New Roman" w:hAnsi="Times New Roman" w:eastAsia="仿宋_GB2312" w:cs="Times New Roman"/>
                <w:kern w:val="0"/>
                <w:szCs w:val="21"/>
                <w:highlight w:val="none"/>
                <w:lang w:val="en-US" w:eastAsia="zh-CN"/>
              </w:rPr>
            </w:pPr>
            <w:r>
              <w:rPr>
                <w:rFonts w:hint="eastAsia" w:ascii="Times New Roman" w:hAnsi="Times New Roman" w:eastAsia="仿宋_GB2312" w:cs="Times New Roman"/>
                <w:kern w:val="0"/>
                <w:szCs w:val="21"/>
                <w:highlight w:val="none"/>
                <w:lang w:val="en-US" w:eastAsia="zh-CN"/>
              </w:rPr>
              <w:t>239</w:t>
            </w:r>
          </w:p>
        </w:tc>
        <w:tc>
          <w:tcPr>
            <w:tcW w:w="2142" w:type="dxa"/>
            <w:shd w:val="clear" w:color="auto" w:fill="auto"/>
            <w:vAlign w:val="center"/>
          </w:tcPr>
          <w:p>
            <w:pPr>
              <w:widowControl/>
              <w:jc w:val="left"/>
              <w:rPr>
                <w:rFonts w:ascii="Times New Roman" w:hAnsi="Times New Roman" w:eastAsia="仿宋_GB2312" w:cs="Times New Roman"/>
                <w:kern w:val="0"/>
                <w:szCs w:val="21"/>
                <w:highlight w:val="none"/>
              </w:rPr>
            </w:pPr>
            <w:r>
              <w:rPr>
                <w:rFonts w:hint="eastAsia" w:ascii="Times New Roman" w:hAnsi="Times New Roman" w:eastAsia="仿宋_GB2312" w:cs="Times New Roman"/>
                <w:kern w:val="0"/>
                <w:szCs w:val="21"/>
                <w:highlight w:val="none"/>
              </w:rPr>
              <w:t xml:space="preserve">  其他抗疫相关支出</w:t>
            </w:r>
          </w:p>
        </w:tc>
        <w:tc>
          <w:tcPr>
            <w:tcW w:w="1178"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5.00</w:t>
            </w:r>
          </w:p>
        </w:tc>
        <w:tc>
          <w:tcPr>
            <w:tcW w:w="2000" w:type="dxa"/>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c>
          <w:tcPr>
            <w:tcW w:w="2000" w:type="dxa"/>
            <w:shd w:val="clear" w:color="auto" w:fill="auto"/>
            <w:vAlign w:val="center"/>
          </w:tcPr>
          <w:p>
            <w:pPr>
              <w:widowControl/>
              <w:jc w:val="left"/>
              <w:rPr>
                <w:rFonts w:ascii="Times New Roman" w:hAnsi="Times New Roman" w:eastAsia="仿宋_GB2312" w:cs="Times New Roman"/>
                <w:kern w:val="0"/>
                <w:sz w:val="21"/>
                <w:szCs w:val="21"/>
                <w:highlight w:val="none"/>
                <w:lang w:val="en-US" w:eastAsia="zh-CN" w:bidi="ar-SA"/>
              </w:rPr>
            </w:pPr>
            <w:r>
              <w:rPr>
                <w:rFonts w:hint="eastAsia" w:ascii="Times New Roman" w:hAnsi="Times New Roman" w:eastAsia="仿宋_GB2312" w:cs="Times New Roman"/>
                <w:kern w:val="0"/>
                <w:szCs w:val="21"/>
                <w:highlight w:val="none"/>
                <w:lang w:val="en-US" w:eastAsia="zh-CN"/>
              </w:rPr>
              <w:t>5.00</w:t>
            </w:r>
          </w:p>
        </w:tc>
        <w:tc>
          <w:tcPr>
            <w:tcW w:w="2000" w:type="dxa"/>
            <w:shd w:val="clear" w:color="auto" w:fill="auto"/>
            <w:vAlign w:val="center"/>
          </w:tcPr>
          <w:p>
            <w:pPr>
              <w:widowControl/>
              <w:jc w:val="left"/>
              <w:rPr>
                <w:rFonts w:ascii="Times New Roman" w:hAnsi="Times New Roman" w:eastAsia="仿宋_GB2312" w:cs="Times New Roman"/>
                <w:kern w:val="0"/>
                <w:szCs w:val="21"/>
                <w:highlight w:val="none"/>
              </w:rPr>
            </w:pPr>
          </w:p>
        </w:tc>
      </w:tr>
    </w:tbl>
    <w:p>
      <w:pPr>
        <w:widowControl/>
        <w:jc w:val="left"/>
        <w:rPr>
          <w:rFonts w:ascii="Times New Roman" w:hAnsi="Times New Roman" w:eastAsia="仿宋_GB2312" w:cs="Times New Roman"/>
          <w:kern w:val="0"/>
          <w:szCs w:val="21"/>
          <w:highlight w:val="none"/>
        </w:rPr>
      </w:pPr>
      <w:r>
        <w:rPr>
          <w:rFonts w:ascii="Times New Roman" w:hAnsi="Times New Roman" w:eastAsia="仿宋_GB2312" w:cs="Times New Roman"/>
          <w:kern w:val="0"/>
          <w:szCs w:val="21"/>
          <w:highlight w:val="none"/>
        </w:rPr>
        <w:t>注：本表反映部门本年度政府性基金预算财政拨款收入、支出及结转和结余情况</w:t>
      </w:r>
    </w:p>
    <w:p>
      <w:pPr>
        <w:widowControl/>
        <w:jc w:val="left"/>
        <w:rPr>
          <w:rFonts w:ascii="黑体" w:hAnsi="黑体" w:eastAsia="黑体"/>
          <w:szCs w:val="21"/>
          <w:highlight w:val="none"/>
        </w:rPr>
      </w:pPr>
      <w:r>
        <w:rPr>
          <w:rFonts w:ascii="黑体" w:hAnsi="黑体" w:eastAsia="黑体"/>
          <w:szCs w:val="21"/>
          <w:highlight w:val="none"/>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pPr>
              <w:widowControl/>
              <w:jc w:val="center"/>
              <w:rPr>
                <w:rFonts w:ascii="华文中宋" w:hAnsi="华文中宋" w:eastAsia="华文中宋" w:cs="宋体"/>
                <w:kern w:val="0"/>
                <w:sz w:val="32"/>
                <w:szCs w:val="32"/>
                <w:highlight w:val="none"/>
              </w:rPr>
            </w:pPr>
            <w:r>
              <w:rPr>
                <w:rFonts w:hint="eastAsia" w:ascii="华文中宋" w:hAnsi="华文中宋" w:eastAsia="华文中宋" w:cs="宋体"/>
                <w:kern w:val="0"/>
                <w:sz w:val="32"/>
                <w:szCs w:val="32"/>
                <w:highlight w:val="none"/>
              </w:rPr>
              <w:t>国有资本经营预算财政拨款支出决算表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60" w:type="dxa"/>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3215" w:type="dxa"/>
            <w:gridSpan w:val="2"/>
            <w:tcBorders>
              <w:top w:val="nil"/>
              <w:left w:val="nil"/>
              <w:bottom w:val="nil"/>
              <w:right w:val="nil"/>
            </w:tcBorders>
            <w:shd w:val="clear" w:color="000000" w:fill="FFFFFF"/>
            <w:vAlign w:val="center"/>
          </w:tcPr>
          <w:p>
            <w:pPr>
              <w:widowControl/>
              <w:jc w:val="center"/>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1225" w:type="dxa"/>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620" w:type="dxa"/>
            <w:gridSpan w:val="2"/>
            <w:tcBorders>
              <w:top w:val="nil"/>
              <w:left w:val="nil"/>
              <w:bottom w:val="nil"/>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公开09表</w:t>
            </w:r>
          </w:p>
        </w:tc>
      </w:tr>
      <w:tr>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pPr>
              <w:widowControl/>
              <w:jc w:val="lef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部门：</w:t>
            </w:r>
          </w:p>
        </w:tc>
        <w:tc>
          <w:tcPr>
            <w:tcW w:w="3775" w:type="dxa"/>
            <w:gridSpan w:val="3"/>
            <w:tcBorders>
              <w:top w:val="nil"/>
              <w:left w:val="nil"/>
              <w:bottom w:val="nil"/>
              <w:right w:val="nil"/>
            </w:tcBorders>
            <w:shd w:val="clear" w:color="000000" w:fill="FFFFFF"/>
            <w:vAlign w:val="center"/>
          </w:tcPr>
          <w:p>
            <w:pPr>
              <w:widowControl/>
              <w:jc w:val="left"/>
              <w:rPr>
                <w:rFonts w:hint="eastAsia" w:ascii="宋体" w:hAnsi="宋体" w:eastAsia="宋体" w:cs="宋体"/>
                <w:kern w:val="0"/>
                <w:sz w:val="20"/>
                <w:szCs w:val="20"/>
                <w:highlight w:val="none"/>
                <w:lang w:eastAsia="zh-CN"/>
              </w:rPr>
            </w:pPr>
            <w:r>
              <w:rPr>
                <w:rFonts w:hint="eastAsia" w:ascii="宋体" w:hAnsi="宋体" w:eastAsia="宋体" w:cs="宋体"/>
                <w:kern w:val="0"/>
                <w:sz w:val="20"/>
                <w:szCs w:val="20"/>
                <w:highlight w:val="none"/>
                <w:lang w:eastAsia="zh-CN"/>
              </w:rPr>
              <w:t>益阳市谢林港镇人民政府</w:t>
            </w:r>
          </w:p>
        </w:tc>
        <w:tc>
          <w:tcPr>
            <w:tcW w:w="1225" w:type="dxa"/>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620" w:type="dxa"/>
            <w:gridSpan w:val="2"/>
            <w:tcBorders>
              <w:top w:val="nil"/>
              <w:left w:val="nil"/>
              <w:bottom w:val="single" w:color="auto" w:sz="8" w:space="0"/>
              <w:right w:val="nil"/>
            </w:tcBorders>
            <w:shd w:val="clear" w:color="000000" w:fill="FFFFFF"/>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5510" w:type="dxa"/>
            <w:gridSpan w:val="2"/>
            <w:tcBorders>
              <w:top w:val="nil"/>
              <w:left w:val="nil"/>
              <w:bottom w:val="nil"/>
              <w:right w:val="nil"/>
            </w:tcBorders>
            <w:shd w:val="clear" w:color="000000" w:fill="FFFFFF"/>
            <w:noWrap/>
            <w:vAlign w:val="center"/>
          </w:tcPr>
          <w:p>
            <w:pPr>
              <w:widowControl/>
              <w:jc w:val="right"/>
              <w:rPr>
                <w:rFonts w:ascii="宋体" w:hAnsi="宋体" w:eastAsia="宋体" w:cs="宋体"/>
                <w:color w:val="000000"/>
                <w:kern w:val="0"/>
                <w:sz w:val="20"/>
                <w:szCs w:val="20"/>
                <w:highlight w:val="none"/>
              </w:rPr>
            </w:pPr>
            <w:r>
              <w:rPr>
                <w:rFonts w:hint="eastAsia" w:ascii="宋体" w:hAnsi="宋体" w:eastAsia="宋体" w:cs="宋体"/>
                <w:color w:val="000000"/>
                <w:kern w:val="0"/>
                <w:sz w:val="20"/>
                <w:szCs w:val="20"/>
                <w:highlight w:val="none"/>
              </w:rPr>
              <w:t>单位：万元</w:t>
            </w:r>
          </w:p>
        </w:tc>
      </w:tr>
      <w:tr>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项 </w:t>
            </w:r>
            <w:r>
              <w:rPr>
                <w:rFonts w:hint="eastAsia" w:ascii="宋体" w:hAnsi="宋体" w:eastAsia="宋体" w:cs="宋体"/>
                <w:color w:val="000000"/>
                <w:kern w:val="0"/>
                <w:sz w:val="22"/>
                <w:highlight w:val="none"/>
              </w:rPr>
              <w:t xml:space="preserve">   </w:t>
            </w:r>
            <w:r>
              <w:rPr>
                <w:rFonts w:hint="eastAsia" w:ascii="宋体" w:hAnsi="宋体" w:eastAsia="宋体" w:cs="宋体"/>
                <w:kern w:val="0"/>
                <w:sz w:val="24"/>
                <w:szCs w:val="24"/>
                <w:highlight w:val="none"/>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本年支出</w:t>
            </w:r>
          </w:p>
        </w:tc>
      </w:tr>
      <w:tr>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项目支出</w:t>
            </w: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r>
      <w:tr>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12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551"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2977"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c>
          <w:tcPr>
            <w:tcW w:w="3827"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eastAsia="宋体" w:cs="宋体"/>
                <w:kern w:val="0"/>
                <w:sz w:val="24"/>
                <w:szCs w:val="24"/>
                <w:highlight w:val="none"/>
              </w:rPr>
            </w:pPr>
          </w:p>
        </w:tc>
      </w:tr>
      <w:tr>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栏次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1</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2</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3</w:t>
            </w:r>
          </w:p>
        </w:tc>
      </w:tr>
      <w:tr>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合计</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highlight w:val="none"/>
              </w:rPr>
            </w:pPr>
            <w:r>
              <w:rPr>
                <w:rFonts w:hint="eastAsia" w:ascii="宋体" w:hAnsi="宋体" w:eastAsia="宋体" w:cs="宋体"/>
                <w:kern w:val="0"/>
                <w:sz w:val="20"/>
                <w:szCs w:val="20"/>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pPr>
              <w:widowControl/>
              <w:jc w:val="center"/>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215"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551"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2977" w:type="dxa"/>
            <w:gridSpan w:val="2"/>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c>
          <w:tcPr>
            <w:tcW w:w="3827"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　</w:t>
            </w:r>
          </w:p>
        </w:tc>
      </w:tr>
      <w:tr>
        <w:trPr>
          <w:trHeight w:val="720" w:hRule="atLeast"/>
        </w:trPr>
        <w:tc>
          <w:tcPr>
            <w:tcW w:w="14190" w:type="dxa"/>
            <w:gridSpan w:val="9"/>
            <w:tcBorders>
              <w:top w:val="single" w:color="auto" w:sz="8" w:space="0"/>
              <w:left w:val="nil"/>
              <w:bottom w:val="nil"/>
              <w:right w:val="nil"/>
            </w:tcBorders>
            <w:shd w:val="clear" w:color="auto" w:fill="auto"/>
            <w:vAlign w:val="center"/>
          </w:tcPr>
          <w:p>
            <w:pPr>
              <w:widowControl/>
              <w:jc w:val="left"/>
              <w:rPr>
                <w:rFonts w:ascii="宋体" w:hAnsi="宋体" w:eastAsia="宋体" w:cs="宋体"/>
                <w:kern w:val="0"/>
                <w:sz w:val="24"/>
                <w:szCs w:val="24"/>
                <w:highlight w:val="none"/>
              </w:rPr>
            </w:pPr>
            <w:r>
              <w:rPr>
                <w:rFonts w:hint="eastAsia" w:ascii="宋体" w:hAnsi="宋体" w:eastAsia="宋体" w:cs="宋体"/>
                <w:kern w:val="0"/>
                <w:sz w:val="24"/>
                <w:szCs w:val="24"/>
                <w:highlight w:val="none"/>
              </w:rPr>
              <w:t>注：本表反映部门本年度国有资本经营预算财政拨款支出情况。</w:t>
            </w:r>
          </w:p>
        </w:tc>
      </w:tr>
    </w:tbl>
    <w:p>
      <w:pPr>
        <w:pStyle w:val="10"/>
        <w:rPr>
          <w:sz w:val="72"/>
          <w:szCs w:val="72"/>
          <w:highlight w:val="none"/>
        </w:rPr>
        <w:sectPr>
          <w:pgSz w:w="16838" w:h="11906" w:orient="landscape"/>
          <w:pgMar w:top="720" w:right="720" w:bottom="720" w:left="720" w:header="851" w:footer="992" w:gutter="0"/>
          <w:cols w:space="425" w:num="1"/>
          <w:docGrid w:type="lines" w:linePitch="312" w:charSpace="0"/>
        </w:sectPr>
      </w:pPr>
    </w:p>
    <w:p>
      <w:pPr>
        <w:pStyle w:val="10"/>
        <w:rPr>
          <w:sz w:val="72"/>
          <w:szCs w:val="72"/>
          <w:highlight w:val="none"/>
        </w:rPr>
      </w:pPr>
    </w:p>
    <w:p>
      <w:pPr>
        <w:pStyle w:val="10"/>
        <w:rPr>
          <w:sz w:val="72"/>
          <w:szCs w:val="72"/>
          <w:highlight w:val="none"/>
        </w:rPr>
      </w:pPr>
    </w:p>
    <w:p>
      <w:pPr>
        <w:pStyle w:val="10"/>
        <w:rPr>
          <w:sz w:val="72"/>
          <w:szCs w:val="72"/>
          <w:highlight w:val="none"/>
        </w:rPr>
      </w:pPr>
    </w:p>
    <w:p>
      <w:pPr>
        <w:pStyle w:val="10"/>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r>
        <w:rPr>
          <w:rFonts w:hint="eastAsia"/>
          <w:sz w:val="72"/>
          <w:szCs w:val="72"/>
          <w:highlight w:val="none"/>
        </w:rPr>
        <w:t>第三部分</w:t>
      </w:r>
    </w:p>
    <w:p>
      <w:pPr>
        <w:pStyle w:val="10"/>
        <w:jc w:val="center"/>
        <w:rPr>
          <w:sz w:val="70"/>
          <w:szCs w:val="70"/>
          <w:highlight w:val="none"/>
        </w:rPr>
      </w:pPr>
    </w:p>
    <w:p>
      <w:pPr>
        <w:pStyle w:val="10"/>
        <w:jc w:val="center"/>
        <w:rPr>
          <w:sz w:val="70"/>
          <w:szCs w:val="70"/>
          <w:highlight w:val="none"/>
        </w:rPr>
      </w:pPr>
      <w:r>
        <w:rPr>
          <w:sz w:val="70"/>
          <w:szCs w:val="70"/>
          <w:highlight w:val="none"/>
        </w:rPr>
        <w:t>20</w:t>
      </w:r>
      <w:r>
        <w:rPr>
          <w:rFonts w:hint="eastAsia"/>
          <w:sz w:val="70"/>
          <w:szCs w:val="70"/>
          <w:highlight w:val="none"/>
        </w:rPr>
        <w:t>21年度部门决算情况说明</w:t>
      </w:r>
    </w:p>
    <w:p>
      <w:pPr>
        <w:widowControl/>
        <w:jc w:val="left"/>
        <w:rPr>
          <w:rFonts w:ascii="黑体" w:eastAsia="黑体" w:cs="黑体"/>
          <w:color w:val="000000"/>
          <w:kern w:val="0"/>
          <w:sz w:val="70"/>
          <w:szCs w:val="70"/>
          <w:highlight w:val="none"/>
        </w:rPr>
      </w:pPr>
      <w:r>
        <w:rPr>
          <w:sz w:val="70"/>
          <w:szCs w:val="70"/>
          <w:highlight w:val="none"/>
        </w:rPr>
        <w:br w:type="page"/>
      </w:r>
    </w:p>
    <w:p>
      <w:pPr>
        <w:pStyle w:val="10"/>
        <w:rPr>
          <w:rFonts w:asciiTheme="minorEastAsia" w:hAnsiTheme="minorEastAsia" w:eastAsiaTheme="minorEastAsia"/>
          <w:sz w:val="32"/>
          <w:szCs w:val="32"/>
          <w:highlight w:val="none"/>
        </w:rPr>
      </w:pPr>
    </w:p>
    <w:p>
      <w:pPr>
        <w:pStyle w:val="10"/>
        <w:jc w:val="both"/>
        <w:rPr>
          <w:rFonts w:hAnsi="黑体"/>
          <w:b/>
          <w:sz w:val="32"/>
          <w:szCs w:val="32"/>
          <w:highlight w:val="none"/>
        </w:rPr>
      </w:pPr>
      <w:r>
        <w:rPr>
          <w:rFonts w:hint="eastAsia" w:hAnsi="黑体"/>
          <w:b/>
          <w:sz w:val="32"/>
          <w:szCs w:val="32"/>
          <w:highlight w:val="none"/>
        </w:rPr>
        <w:t>一、收入支出决算总体情况说明</w:t>
      </w:r>
    </w:p>
    <w:p>
      <w:pPr>
        <w:pStyle w:val="10"/>
        <w:ind w:firstLine="640" w:firstLineChars="20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w:t>
      </w:r>
      <w:r>
        <w:rPr>
          <w:rFonts w:hint="eastAsia" w:asciiTheme="minorEastAsia" w:hAnsiTheme="minorEastAsia" w:eastAsiaTheme="minorEastAsia"/>
          <w:sz w:val="32"/>
          <w:szCs w:val="32"/>
          <w:highlight w:val="none"/>
          <w:lang w:eastAsia="zh-CN"/>
        </w:rPr>
        <w:t>入</w:t>
      </w:r>
      <w:r>
        <w:rPr>
          <w:rFonts w:hint="eastAsia" w:asciiTheme="minorEastAsia" w:hAnsiTheme="minorEastAsia" w:eastAsiaTheme="minorEastAsia"/>
          <w:sz w:val="32"/>
          <w:szCs w:val="32"/>
          <w:highlight w:val="none"/>
        </w:rPr>
        <w:t>总计</w:t>
      </w:r>
      <w:r>
        <w:rPr>
          <w:rFonts w:hint="eastAsia" w:asciiTheme="minorEastAsia" w:hAnsiTheme="minorEastAsia" w:eastAsiaTheme="minorEastAsia"/>
          <w:sz w:val="32"/>
          <w:szCs w:val="32"/>
          <w:highlight w:val="none"/>
          <w:lang w:val="en-US" w:eastAsia="zh-CN"/>
        </w:rPr>
        <w:t>10185.86</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，支出总计</w:t>
      </w:r>
      <w:r>
        <w:rPr>
          <w:rFonts w:hint="eastAsia" w:asciiTheme="minorEastAsia" w:hAnsiTheme="minorEastAsia" w:eastAsiaTheme="minorEastAsia"/>
          <w:sz w:val="32"/>
          <w:szCs w:val="32"/>
          <w:highlight w:val="none"/>
          <w:lang w:val="en-US" w:eastAsia="zh-CN"/>
        </w:rPr>
        <w:t>10185.86</w:t>
      </w:r>
      <w:r>
        <w:rPr>
          <w:rFonts w:hint="eastAsia" w:asciiTheme="minorEastAsia" w:hAnsiTheme="minorEastAsia" w:eastAsiaTheme="minorEastAsia"/>
          <w:sz w:val="32"/>
          <w:szCs w:val="32"/>
          <w:highlight w:val="none"/>
        </w:rPr>
        <w:t>万元。与上年相比，</w:t>
      </w:r>
      <w:r>
        <w:rPr>
          <w:rFonts w:hint="eastAsia" w:asciiTheme="minorEastAsia" w:hAnsiTheme="minorEastAsia" w:eastAsiaTheme="minorEastAsia"/>
          <w:sz w:val="32"/>
          <w:szCs w:val="32"/>
          <w:highlight w:val="none"/>
          <w:lang w:val="en-US" w:eastAsia="zh-CN"/>
        </w:rPr>
        <w:t>各</w:t>
      </w:r>
      <w:r>
        <w:rPr>
          <w:rFonts w:hint="eastAsia" w:asciiTheme="minorEastAsia" w:hAnsiTheme="minorEastAsia" w:eastAsiaTheme="minorEastAsia"/>
          <w:sz w:val="32"/>
          <w:szCs w:val="32"/>
          <w:highlight w:val="none"/>
        </w:rPr>
        <w:t>减少1049.11万元，主要为一般公共预算财政拨款收入减少2266.25万元，政府性基金收入增加995.41万元，其他收入增加221.73万元。</w:t>
      </w:r>
    </w:p>
    <w:p>
      <w:pPr>
        <w:pStyle w:val="10"/>
        <w:jc w:val="both"/>
        <w:rPr>
          <w:rFonts w:hAnsi="黑体"/>
          <w:b/>
          <w:sz w:val="32"/>
          <w:szCs w:val="32"/>
          <w:highlight w:val="none"/>
        </w:rPr>
      </w:pPr>
      <w:r>
        <w:rPr>
          <w:rFonts w:hint="eastAsia" w:hAnsi="黑体"/>
          <w:b/>
          <w:sz w:val="32"/>
          <w:szCs w:val="32"/>
          <w:highlight w:val="none"/>
        </w:rPr>
        <w:t>二、收入决算情况说明</w:t>
      </w:r>
    </w:p>
    <w:p>
      <w:pPr>
        <w:pStyle w:val="10"/>
        <w:ind w:firstLine="640" w:firstLineChars="20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2021年度收入合计</w:t>
      </w:r>
      <w:r>
        <w:rPr>
          <w:rFonts w:hint="eastAsia" w:asciiTheme="minorEastAsia" w:hAnsiTheme="minorEastAsia" w:eastAsiaTheme="minorEastAsia"/>
          <w:sz w:val="32"/>
          <w:szCs w:val="32"/>
          <w:highlight w:val="none"/>
          <w:lang w:val="en-US" w:eastAsia="zh-CN"/>
        </w:rPr>
        <w:t>10185.86</w:t>
      </w:r>
      <w:r>
        <w:rPr>
          <w:rFonts w:hint="eastAsia" w:asciiTheme="minorEastAsia" w:hAnsiTheme="minorEastAsia" w:eastAsiaTheme="minorEastAsia"/>
          <w:sz w:val="32"/>
          <w:szCs w:val="32"/>
          <w:highlight w:val="none"/>
        </w:rPr>
        <w:t>万元，其中：财政拨款收入</w:t>
      </w:r>
      <w:r>
        <w:rPr>
          <w:rFonts w:hint="eastAsia" w:asciiTheme="minorEastAsia" w:hAnsiTheme="minorEastAsia" w:eastAsiaTheme="minorEastAsia"/>
          <w:sz w:val="32"/>
          <w:szCs w:val="32"/>
          <w:highlight w:val="none"/>
          <w:lang w:val="en-US" w:eastAsia="zh-CN"/>
        </w:rPr>
        <w:t>9814.07</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96.35</w:t>
      </w:r>
      <w:r>
        <w:rPr>
          <w:rFonts w:hint="eastAsia" w:asciiTheme="minorEastAsia" w:hAnsiTheme="minorEastAsia" w:eastAsiaTheme="minorEastAsia"/>
          <w:sz w:val="32"/>
          <w:szCs w:val="32"/>
          <w:highlight w:val="none"/>
        </w:rPr>
        <w:t>%；其他收入</w:t>
      </w:r>
      <w:r>
        <w:rPr>
          <w:rFonts w:hint="eastAsia" w:asciiTheme="minorEastAsia" w:hAnsiTheme="minorEastAsia" w:eastAsiaTheme="minorEastAsia"/>
          <w:sz w:val="32"/>
          <w:szCs w:val="32"/>
          <w:highlight w:val="none"/>
          <w:lang w:val="en-US" w:eastAsia="zh-CN"/>
        </w:rPr>
        <w:t>371.79</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3.65</w:t>
      </w:r>
      <w:r>
        <w:rPr>
          <w:rFonts w:hint="eastAsia" w:asciiTheme="minorEastAsia" w:hAnsiTheme="minorEastAsia" w:eastAsiaTheme="minorEastAsia"/>
          <w:sz w:val="32"/>
          <w:szCs w:val="32"/>
          <w:highlight w:val="none"/>
        </w:rPr>
        <w:t>%。</w:t>
      </w:r>
    </w:p>
    <w:p>
      <w:pPr>
        <w:pStyle w:val="10"/>
        <w:jc w:val="both"/>
        <w:rPr>
          <w:rFonts w:hAnsi="黑体"/>
          <w:b/>
          <w:sz w:val="32"/>
          <w:szCs w:val="32"/>
          <w:highlight w:val="none"/>
        </w:rPr>
      </w:pPr>
      <w:r>
        <w:rPr>
          <w:rFonts w:hint="eastAsia" w:hAnsi="黑体"/>
          <w:b/>
          <w:sz w:val="32"/>
          <w:szCs w:val="32"/>
          <w:highlight w:val="none"/>
        </w:rPr>
        <w:t>三、支出决算情况说明</w:t>
      </w:r>
    </w:p>
    <w:p>
      <w:pPr>
        <w:pStyle w:val="10"/>
        <w:ind w:firstLine="640" w:firstLineChars="20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2021年度支出合计</w:t>
      </w:r>
      <w:r>
        <w:rPr>
          <w:rFonts w:hint="eastAsia" w:asciiTheme="minorEastAsia" w:hAnsiTheme="minorEastAsia" w:eastAsiaTheme="minorEastAsia"/>
          <w:sz w:val="32"/>
          <w:szCs w:val="32"/>
          <w:highlight w:val="none"/>
          <w:lang w:val="en-US" w:eastAsia="zh-CN"/>
        </w:rPr>
        <w:t>10185.86</w:t>
      </w:r>
      <w:r>
        <w:rPr>
          <w:rFonts w:hint="eastAsia" w:asciiTheme="minorEastAsia" w:hAnsiTheme="minorEastAsia" w:eastAsiaTheme="minorEastAsia"/>
          <w:sz w:val="32"/>
          <w:szCs w:val="32"/>
          <w:highlight w:val="none"/>
        </w:rPr>
        <w:t>万元，其中：基本支出</w:t>
      </w:r>
      <w:r>
        <w:rPr>
          <w:rFonts w:hint="eastAsia" w:asciiTheme="minorEastAsia" w:hAnsiTheme="minorEastAsia" w:eastAsiaTheme="minorEastAsia"/>
          <w:sz w:val="32"/>
          <w:szCs w:val="32"/>
          <w:highlight w:val="none"/>
          <w:lang w:val="en-US" w:eastAsia="zh-CN"/>
        </w:rPr>
        <w:t>2292.37</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22.51</w:t>
      </w:r>
      <w:r>
        <w:rPr>
          <w:rFonts w:hint="eastAsia" w:asciiTheme="minorEastAsia" w:hAnsiTheme="minorEastAsia" w:eastAsiaTheme="minorEastAsia"/>
          <w:sz w:val="32"/>
          <w:szCs w:val="32"/>
          <w:highlight w:val="none"/>
        </w:rPr>
        <w:t>%；项目支出</w:t>
      </w:r>
      <w:r>
        <w:rPr>
          <w:rFonts w:hint="eastAsia" w:asciiTheme="minorEastAsia" w:hAnsiTheme="minorEastAsia" w:eastAsiaTheme="minorEastAsia"/>
          <w:sz w:val="32"/>
          <w:szCs w:val="32"/>
          <w:highlight w:val="none"/>
          <w:lang w:val="en-US" w:eastAsia="zh-CN"/>
        </w:rPr>
        <w:t>7893.49</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77.49</w:t>
      </w:r>
      <w:r>
        <w:rPr>
          <w:rFonts w:hint="eastAsia" w:asciiTheme="minorEastAsia" w:hAnsiTheme="minorEastAsia" w:eastAsiaTheme="minorEastAsia"/>
          <w:sz w:val="32"/>
          <w:szCs w:val="32"/>
          <w:highlight w:val="none"/>
        </w:rPr>
        <w:t>%。</w:t>
      </w:r>
    </w:p>
    <w:p>
      <w:pPr>
        <w:pStyle w:val="10"/>
        <w:jc w:val="both"/>
        <w:rPr>
          <w:rFonts w:hAnsi="黑体"/>
          <w:b/>
          <w:sz w:val="32"/>
          <w:szCs w:val="32"/>
          <w:highlight w:val="none"/>
        </w:rPr>
      </w:pPr>
      <w:r>
        <w:rPr>
          <w:rFonts w:hint="eastAsia" w:hAnsi="黑体"/>
          <w:b/>
          <w:sz w:val="32"/>
          <w:szCs w:val="32"/>
          <w:highlight w:val="none"/>
        </w:rPr>
        <w:t>四、财政拨款收入支出决算总体情况说明</w:t>
      </w:r>
    </w:p>
    <w:p>
      <w:pPr>
        <w:pStyle w:val="10"/>
        <w:ind w:firstLine="640" w:firstLineChars="200"/>
        <w:jc w:val="both"/>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2021年度财政拨款</w:t>
      </w:r>
      <w:r>
        <w:rPr>
          <w:rFonts w:hint="eastAsia" w:asciiTheme="minorEastAsia" w:hAnsiTheme="minorEastAsia" w:eastAsiaTheme="minorEastAsia"/>
          <w:sz w:val="32"/>
          <w:szCs w:val="32"/>
          <w:highlight w:val="none"/>
          <w:lang w:eastAsia="zh-CN"/>
        </w:rPr>
        <w:t>收入</w:t>
      </w:r>
      <w:r>
        <w:rPr>
          <w:rFonts w:hint="eastAsia" w:asciiTheme="minorEastAsia" w:hAnsiTheme="minorEastAsia" w:eastAsiaTheme="minorEastAsia"/>
          <w:sz w:val="32"/>
          <w:szCs w:val="32"/>
          <w:highlight w:val="none"/>
        </w:rPr>
        <w:t>总计</w:t>
      </w:r>
      <w:r>
        <w:rPr>
          <w:rFonts w:hint="eastAsia" w:asciiTheme="minorEastAsia" w:hAnsiTheme="minorEastAsia" w:eastAsiaTheme="minorEastAsia"/>
          <w:sz w:val="32"/>
          <w:szCs w:val="32"/>
          <w:highlight w:val="none"/>
          <w:lang w:val="en-US" w:eastAsia="zh-CN"/>
        </w:rPr>
        <w:t>9814.07</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支出总计</w:t>
      </w:r>
      <w:r>
        <w:rPr>
          <w:rFonts w:hint="eastAsia" w:asciiTheme="minorEastAsia" w:hAnsiTheme="minorEastAsia" w:eastAsiaTheme="minorEastAsia"/>
          <w:sz w:val="32"/>
          <w:szCs w:val="32"/>
          <w:highlight w:val="none"/>
          <w:lang w:val="en-US" w:eastAsia="zh-CN"/>
        </w:rPr>
        <w:t>9814.07</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与上年相比，减少</w:t>
      </w:r>
      <w:r>
        <w:rPr>
          <w:rFonts w:hint="eastAsia" w:asciiTheme="minorEastAsia" w:hAnsiTheme="minorEastAsia" w:eastAsiaTheme="minorEastAsia"/>
          <w:sz w:val="32"/>
          <w:szCs w:val="32"/>
          <w:highlight w:val="none"/>
          <w:lang w:val="en-US" w:eastAsia="zh-CN"/>
        </w:rPr>
        <w:t>1270.84</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val="en-US" w:eastAsia="zh-CN"/>
        </w:rPr>
        <w:t>主要原因为污染防治经费减少。</w:t>
      </w:r>
    </w:p>
    <w:p>
      <w:pPr>
        <w:pStyle w:val="10"/>
        <w:jc w:val="both"/>
        <w:rPr>
          <w:rFonts w:hAnsi="黑体"/>
          <w:b/>
          <w:sz w:val="32"/>
          <w:szCs w:val="32"/>
          <w:highlight w:val="none"/>
        </w:rPr>
      </w:pPr>
      <w:r>
        <w:rPr>
          <w:rFonts w:hint="eastAsia" w:hAnsi="黑体"/>
          <w:b/>
          <w:sz w:val="32"/>
          <w:szCs w:val="32"/>
          <w:highlight w:val="none"/>
        </w:rPr>
        <w:t>五、一般公共预算财政拨款支出决算情况说明</w:t>
      </w:r>
    </w:p>
    <w:p>
      <w:pPr>
        <w:pStyle w:val="10"/>
        <w:ind w:firstLine="640" w:firstLineChars="200"/>
        <w:jc w:val="both"/>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（一）财政拨款支出决算总体情况</w:t>
      </w:r>
    </w:p>
    <w:p>
      <w:pPr>
        <w:pStyle w:val="10"/>
        <w:ind w:firstLine="640" w:firstLineChars="20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w:t>
      </w:r>
      <w:r>
        <w:rPr>
          <w:rFonts w:hint="eastAsia" w:asciiTheme="minorEastAsia" w:hAnsiTheme="minorEastAsia" w:eastAsiaTheme="minorEastAsia"/>
          <w:sz w:val="32"/>
          <w:szCs w:val="32"/>
          <w:highlight w:val="none"/>
          <w:lang w:val="en-US" w:eastAsia="zh-CN"/>
        </w:rPr>
        <w:t>9814.07</w:t>
      </w:r>
      <w:r>
        <w:rPr>
          <w:rFonts w:hint="eastAsia" w:asciiTheme="minorEastAsia" w:hAnsiTheme="minorEastAsia" w:eastAsiaTheme="minorEastAsia"/>
          <w:sz w:val="32"/>
          <w:szCs w:val="32"/>
          <w:highlight w:val="none"/>
        </w:rPr>
        <w:t>万元，占本年支出合计的</w:t>
      </w:r>
      <w:r>
        <w:rPr>
          <w:rFonts w:hint="eastAsia" w:asciiTheme="minorEastAsia" w:hAnsiTheme="minorEastAsia" w:eastAsiaTheme="minorEastAsia"/>
          <w:sz w:val="32"/>
          <w:szCs w:val="32"/>
          <w:highlight w:val="none"/>
          <w:lang w:val="en-US" w:eastAsia="zh-CN"/>
        </w:rPr>
        <w:t>96.35</w:t>
      </w:r>
      <w:r>
        <w:rPr>
          <w:rFonts w:hint="eastAsia" w:asciiTheme="minorEastAsia" w:hAnsiTheme="minorEastAsia" w:eastAsiaTheme="minorEastAsia"/>
          <w:sz w:val="32"/>
          <w:szCs w:val="32"/>
          <w:highlight w:val="none"/>
        </w:rPr>
        <w:t>%，与上年相比，财政拨款支出减少</w:t>
      </w:r>
      <w:r>
        <w:rPr>
          <w:rFonts w:hint="eastAsia" w:asciiTheme="minorEastAsia" w:hAnsiTheme="minorEastAsia" w:eastAsiaTheme="minorEastAsia"/>
          <w:sz w:val="32"/>
          <w:szCs w:val="32"/>
          <w:highlight w:val="none"/>
          <w:lang w:val="en-US" w:eastAsia="zh-CN"/>
        </w:rPr>
        <w:t>1270.84</w:t>
      </w:r>
      <w:r>
        <w:rPr>
          <w:rFonts w:hint="eastAsia" w:asciiTheme="minorEastAsia" w:hAnsiTheme="minorEastAsia" w:eastAsiaTheme="minorEastAsia"/>
          <w:sz w:val="32"/>
          <w:szCs w:val="32"/>
          <w:highlight w:val="none"/>
        </w:rPr>
        <w:t>万元。</w:t>
      </w:r>
    </w:p>
    <w:p>
      <w:pPr>
        <w:pStyle w:val="10"/>
        <w:ind w:firstLine="480" w:firstLineChars="150"/>
        <w:jc w:val="both"/>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（二）财政拨款支出决算结构情况</w:t>
      </w:r>
    </w:p>
    <w:p>
      <w:pPr>
        <w:pStyle w:val="10"/>
        <w:ind w:firstLine="640" w:firstLineChars="20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2021年度财政拨款支出</w:t>
      </w:r>
      <w:r>
        <w:rPr>
          <w:rFonts w:hint="eastAsia" w:asciiTheme="minorEastAsia" w:hAnsiTheme="minorEastAsia" w:eastAsiaTheme="minorEastAsia"/>
          <w:sz w:val="32"/>
          <w:szCs w:val="32"/>
          <w:highlight w:val="none"/>
          <w:lang w:val="en-US" w:eastAsia="zh-CN"/>
        </w:rPr>
        <w:t>9814.07</w:t>
      </w:r>
      <w:r>
        <w:rPr>
          <w:rFonts w:hint="eastAsia" w:asciiTheme="minorEastAsia" w:hAnsiTheme="minorEastAsia" w:eastAsiaTheme="minorEastAsia"/>
          <w:sz w:val="32"/>
          <w:szCs w:val="32"/>
          <w:highlight w:val="none"/>
        </w:rPr>
        <w:t>万元，主要用于以下方面：一般公共服务（类）支出</w:t>
      </w:r>
      <w:r>
        <w:rPr>
          <w:rFonts w:hint="eastAsia" w:asciiTheme="minorEastAsia" w:hAnsiTheme="minorEastAsia" w:eastAsiaTheme="minorEastAsia"/>
          <w:sz w:val="32"/>
          <w:szCs w:val="32"/>
          <w:highlight w:val="none"/>
          <w:lang w:val="en-US" w:eastAsia="zh-CN"/>
        </w:rPr>
        <w:t>1995.92</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20.34</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公共安全支出</w:t>
      </w:r>
      <w:r>
        <w:rPr>
          <w:rFonts w:hint="eastAsia" w:asciiTheme="minorEastAsia" w:hAnsiTheme="minorEastAsia" w:eastAsiaTheme="minorEastAsia"/>
          <w:sz w:val="32"/>
          <w:szCs w:val="32"/>
          <w:highlight w:val="none"/>
          <w:lang w:val="en-US" w:eastAsia="zh-CN"/>
        </w:rPr>
        <w:t>18.84万元，占0.19%</w:t>
      </w:r>
      <w:r>
        <w:rPr>
          <w:rFonts w:hint="eastAsia" w:asciiTheme="minorEastAsia" w:hAnsiTheme="minorEastAsia" w:eastAsiaTheme="minorEastAsia"/>
          <w:sz w:val="32"/>
          <w:szCs w:val="32"/>
          <w:highlight w:val="none"/>
        </w:rPr>
        <w:t>教育（类）支出</w:t>
      </w:r>
      <w:r>
        <w:rPr>
          <w:rFonts w:hint="eastAsia" w:asciiTheme="minorEastAsia" w:hAnsiTheme="minorEastAsia" w:eastAsiaTheme="minorEastAsia"/>
          <w:sz w:val="32"/>
          <w:szCs w:val="32"/>
          <w:highlight w:val="none"/>
          <w:lang w:val="en-US" w:eastAsia="zh-CN"/>
        </w:rPr>
        <w:t>5</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0.05</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rPr>
        <w:t>社会保障和就业支出</w:t>
      </w:r>
      <w:r>
        <w:rPr>
          <w:rFonts w:hint="eastAsia" w:asciiTheme="minorEastAsia" w:hAnsiTheme="minorEastAsia" w:eastAsiaTheme="minorEastAsia"/>
          <w:sz w:val="32"/>
          <w:szCs w:val="32"/>
          <w:highlight w:val="none"/>
          <w:lang w:val="en-US" w:eastAsia="zh-CN"/>
        </w:rPr>
        <w:t>385.69万元，占3.93%；</w:t>
      </w:r>
      <w:r>
        <w:rPr>
          <w:rFonts w:hint="eastAsia" w:asciiTheme="minorEastAsia" w:hAnsiTheme="minorEastAsia" w:eastAsiaTheme="minorEastAsia"/>
          <w:sz w:val="32"/>
          <w:szCs w:val="32"/>
          <w:highlight w:val="none"/>
        </w:rPr>
        <w:t>文化旅游体育与传媒支出</w:t>
      </w:r>
      <w:r>
        <w:rPr>
          <w:rFonts w:hint="eastAsia" w:asciiTheme="minorEastAsia" w:hAnsiTheme="minorEastAsia" w:eastAsiaTheme="minorEastAsia"/>
          <w:sz w:val="32"/>
          <w:szCs w:val="32"/>
          <w:highlight w:val="none"/>
          <w:lang w:val="en-US" w:eastAsia="zh-CN"/>
        </w:rPr>
        <w:t>9.23万元，占0.09%；卫生健康支出190.36万元，占1.94%；节能环保支出1035.33万元，占10.55%；城乡社区支出1455.21万元，占14.83%；农林水支出4440.45万元，占45.25%；自然资源海洋气象等支出35万元，0.36%；住房保障支出128.24万元，占1.31%；灾害防治及应急管理支出39.95万元，占0.41%；其他支出69.87万元，占0.71%；抗疫特别国债安排的支出5万元，</w:t>
      </w:r>
      <w:r>
        <w:rPr>
          <w:rFonts w:hint="eastAsia" w:asciiTheme="minorEastAsia" w:hAnsiTheme="minorEastAsia" w:eastAsiaTheme="minorEastAsia"/>
          <w:sz w:val="32"/>
          <w:szCs w:val="32"/>
          <w:highlight w:val="none"/>
        </w:rPr>
        <w:t>占</w:t>
      </w:r>
      <w:r>
        <w:rPr>
          <w:rFonts w:hint="eastAsia" w:asciiTheme="minorEastAsia" w:hAnsiTheme="minorEastAsia" w:eastAsiaTheme="minorEastAsia"/>
          <w:sz w:val="32"/>
          <w:szCs w:val="32"/>
          <w:highlight w:val="none"/>
          <w:lang w:val="en-US" w:eastAsia="zh-CN"/>
        </w:rPr>
        <w:t>0.05</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val="en-US" w:eastAsia="zh-CN"/>
        </w:rPr>
        <w:t>。</w:t>
      </w:r>
    </w:p>
    <w:p>
      <w:pPr>
        <w:pStyle w:val="10"/>
        <w:ind w:firstLine="800" w:firstLineChars="250"/>
        <w:jc w:val="both"/>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（三）财政拨款支出决算具体情况</w:t>
      </w:r>
    </w:p>
    <w:p>
      <w:pPr>
        <w:pStyle w:val="10"/>
        <w:ind w:firstLine="800" w:firstLineChars="250"/>
        <w:jc w:val="both"/>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2021年度财政拨款支出年初预算数为</w:t>
      </w:r>
      <w:r>
        <w:rPr>
          <w:rFonts w:hint="eastAsia" w:asciiTheme="minorEastAsia" w:hAnsiTheme="minorEastAsia" w:eastAsiaTheme="minorEastAsia"/>
          <w:sz w:val="32"/>
          <w:szCs w:val="32"/>
          <w:highlight w:val="none"/>
          <w:lang w:val="en-US" w:eastAsia="zh-CN"/>
        </w:rPr>
        <w:t>11100.24</w:t>
      </w:r>
      <w:r>
        <w:rPr>
          <w:rFonts w:hint="eastAsia" w:asciiTheme="minorEastAsia" w:hAnsiTheme="minorEastAsia" w:eastAsiaTheme="minorEastAsia"/>
          <w:sz w:val="32"/>
          <w:szCs w:val="32"/>
          <w:highlight w:val="none"/>
        </w:rPr>
        <w:t>万元，支出决算数为</w:t>
      </w:r>
      <w:r>
        <w:rPr>
          <w:rFonts w:hint="eastAsia" w:asciiTheme="minorEastAsia" w:hAnsiTheme="minorEastAsia" w:eastAsiaTheme="minorEastAsia"/>
          <w:sz w:val="32"/>
          <w:szCs w:val="32"/>
          <w:highlight w:val="none"/>
          <w:lang w:val="en-US" w:eastAsia="zh-CN"/>
        </w:rPr>
        <w:t>9814.07</w:t>
      </w:r>
      <w:r>
        <w:rPr>
          <w:rFonts w:hint="eastAsia" w:asciiTheme="minorEastAsia" w:hAnsiTheme="minorEastAsia" w:eastAsiaTheme="minorEastAsia"/>
          <w:sz w:val="32"/>
          <w:szCs w:val="32"/>
          <w:highlight w:val="none"/>
        </w:rPr>
        <w:t>万元，完成年初预算的</w:t>
      </w:r>
      <w:r>
        <w:rPr>
          <w:rFonts w:hint="eastAsia" w:asciiTheme="minorEastAsia" w:hAnsiTheme="minorEastAsia" w:eastAsiaTheme="minorEastAsia"/>
          <w:sz w:val="32"/>
          <w:szCs w:val="32"/>
          <w:highlight w:val="none"/>
          <w:lang w:val="en-US" w:eastAsia="zh-CN"/>
        </w:rPr>
        <w:t>88.41</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其中：</w:t>
      </w:r>
    </w:p>
    <w:p>
      <w:pPr>
        <w:pStyle w:val="10"/>
        <w:ind w:firstLine="640" w:firstLineChars="200"/>
        <w:rPr>
          <w:rFonts w:ascii="宋体" w:hAnsi="宋体" w:eastAsia="宋体"/>
          <w:sz w:val="32"/>
          <w:szCs w:val="32"/>
          <w:highlight w:val="none"/>
        </w:rPr>
      </w:pPr>
      <w:r>
        <w:rPr>
          <w:rFonts w:hint="eastAsia" w:ascii="宋体" w:hAnsi="宋体" w:eastAsia="宋体"/>
          <w:sz w:val="32"/>
          <w:szCs w:val="32"/>
          <w:highlight w:val="none"/>
        </w:rPr>
        <w:t>1、一般公共服务</w:t>
      </w:r>
      <w:r>
        <w:rPr>
          <w:rFonts w:hint="eastAsia" w:ascii="宋体" w:hAnsi="宋体" w:eastAsia="宋体"/>
          <w:sz w:val="32"/>
          <w:szCs w:val="32"/>
          <w:highlight w:val="none"/>
          <w:lang w:val="en-US" w:eastAsia="zh-CN"/>
        </w:rPr>
        <w:t>支出</w:t>
      </w:r>
    </w:p>
    <w:p>
      <w:pPr>
        <w:pStyle w:val="10"/>
        <w:ind w:firstLine="640" w:firstLineChars="200"/>
        <w:rPr>
          <w:rFonts w:hint="eastAsia" w:ascii="宋体" w:hAnsi="宋体" w:eastAsia="宋体"/>
          <w:sz w:val="32"/>
          <w:szCs w:val="32"/>
          <w:highlight w:val="none"/>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1372.54</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1995.92</w:t>
      </w:r>
      <w:r>
        <w:rPr>
          <w:rFonts w:hint="eastAsia" w:ascii="宋体" w:hAnsi="宋体" w:eastAsia="宋体"/>
          <w:sz w:val="32"/>
          <w:szCs w:val="32"/>
          <w:highlight w:val="none"/>
        </w:rPr>
        <w:t>万元，完成年初预算的</w:t>
      </w:r>
      <w:r>
        <w:rPr>
          <w:rFonts w:hint="eastAsia" w:ascii="宋体" w:hAnsi="宋体" w:eastAsia="宋体"/>
          <w:sz w:val="32"/>
          <w:szCs w:val="32"/>
          <w:highlight w:val="none"/>
          <w:lang w:val="en-US" w:eastAsia="zh-CN"/>
        </w:rPr>
        <w:t>145.42</w:t>
      </w:r>
      <w:r>
        <w:rPr>
          <w:rFonts w:hint="eastAsia" w:ascii="宋体" w:hAnsi="宋体" w:eastAsia="宋体"/>
          <w:sz w:val="32"/>
          <w:szCs w:val="32"/>
          <w:highlight w:val="none"/>
        </w:rPr>
        <w:t>%，</w:t>
      </w:r>
      <w:r>
        <w:rPr>
          <w:rFonts w:hint="eastAsia" w:ascii="宋体" w:hAnsi="宋体" w:eastAsia="宋体"/>
          <w:sz w:val="32"/>
          <w:szCs w:val="32"/>
          <w:highlight w:val="none"/>
          <w:lang w:eastAsia="zh-CN"/>
        </w:rPr>
        <w:t>其中：</w:t>
      </w:r>
      <w:r>
        <w:rPr>
          <w:rFonts w:hint="eastAsia" w:ascii="宋体" w:hAnsi="宋体" w:eastAsia="宋体"/>
          <w:sz w:val="32"/>
          <w:szCs w:val="32"/>
          <w:highlight w:val="none"/>
        </w:rPr>
        <w:t>政府办公厅（室）及相关机构事务</w:t>
      </w:r>
      <w:r>
        <w:rPr>
          <w:rFonts w:hint="eastAsia" w:ascii="宋体" w:hAnsi="宋体" w:eastAsia="宋体"/>
          <w:sz w:val="32"/>
          <w:szCs w:val="32"/>
          <w:highlight w:val="none"/>
          <w:lang w:eastAsia="zh-CN"/>
        </w:rPr>
        <w:t>支出预算为</w:t>
      </w:r>
      <w:r>
        <w:rPr>
          <w:rFonts w:hint="eastAsia" w:ascii="宋体" w:hAnsi="宋体" w:eastAsia="宋体"/>
          <w:sz w:val="32"/>
          <w:szCs w:val="32"/>
          <w:highlight w:val="none"/>
          <w:lang w:val="en-US" w:eastAsia="zh-CN"/>
        </w:rPr>
        <w:t>1372.54万元，决算为1883.27万元，</w:t>
      </w:r>
      <w:r>
        <w:rPr>
          <w:rFonts w:hint="eastAsia" w:ascii="宋体" w:hAnsi="宋体" w:eastAsia="宋体"/>
          <w:sz w:val="32"/>
          <w:szCs w:val="32"/>
          <w:highlight w:val="none"/>
          <w:lang w:eastAsia="zh-CN"/>
        </w:rPr>
        <w:t>超</w:t>
      </w:r>
      <w:r>
        <w:rPr>
          <w:rFonts w:hint="eastAsia" w:ascii="宋体" w:hAnsi="宋体" w:eastAsia="宋体"/>
          <w:sz w:val="32"/>
          <w:szCs w:val="32"/>
          <w:highlight w:val="none"/>
        </w:rPr>
        <w:t>年初预算</w:t>
      </w:r>
      <w:r>
        <w:rPr>
          <w:rFonts w:hint="eastAsia" w:ascii="宋体" w:hAnsi="宋体" w:eastAsia="宋体"/>
          <w:sz w:val="32"/>
          <w:szCs w:val="32"/>
          <w:highlight w:val="none"/>
          <w:lang w:val="en-US" w:eastAsia="zh-CN"/>
        </w:rPr>
        <w:t>510.73万元；其他群众团体事务支出预算为7.68万元，决算为6.31万元，完成年初预算的82.16%；其他发展与改革事务支出预算为0，决算为5万元，超年初预算5万元；专项统计业务支出年初预算为0，决算为14万元，超年初预算14万元；其他组织事务支出年初预算为0，决算为2.34万元，超年初预算2.34万元；其他统战事务支出年初预算为0.决算为4.05万元，超年初预算4.05万元；</w:t>
      </w:r>
      <w:r>
        <w:rPr>
          <w:rFonts w:hint="eastAsia" w:ascii="宋体" w:hAnsi="宋体" w:eastAsia="宋体"/>
          <w:sz w:val="32"/>
          <w:szCs w:val="32"/>
          <w:highlight w:val="none"/>
          <w:lang w:eastAsia="zh-CN"/>
        </w:rPr>
        <w:t>其他共产党事务</w:t>
      </w:r>
      <w:r>
        <w:rPr>
          <w:rFonts w:hint="eastAsia" w:ascii="宋体" w:hAnsi="宋体" w:eastAsia="宋体"/>
          <w:sz w:val="32"/>
          <w:szCs w:val="32"/>
          <w:highlight w:val="none"/>
        </w:rPr>
        <w:t>支出年初预算为</w:t>
      </w:r>
      <w:r>
        <w:rPr>
          <w:rFonts w:hint="eastAsia" w:ascii="宋体" w:hAnsi="宋体" w:eastAsia="宋体"/>
          <w:sz w:val="32"/>
          <w:szCs w:val="32"/>
          <w:highlight w:val="none"/>
          <w:lang w:val="en-US" w:eastAsia="zh-CN"/>
        </w:rPr>
        <w:t>26.45</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w:t>
      </w:r>
      <w:r>
        <w:rPr>
          <w:rFonts w:hint="eastAsia" w:ascii="宋体" w:hAnsi="宋体" w:eastAsia="宋体"/>
          <w:sz w:val="32"/>
          <w:szCs w:val="32"/>
          <w:highlight w:val="none"/>
        </w:rPr>
        <w:t>支出决算</w:t>
      </w:r>
      <w:r>
        <w:rPr>
          <w:rFonts w:hint="eastAsia" w:ascii="宋体" w:hAnsi="宋体" w:eastAsia="宋体"/>
          <w:sz w:val="32"/>
          <w:szCs w:val="32"/>
          <w:highlight w:val="none"/>
          <w:lang w:val="en-US" w:eastAsia="zh-CN"/>
        </w:rPr>
        <w:t>72.95</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，完成</w:t>
      </w:r>
      <w:r>
        <w:rPr>
          <w:rFonts w:hint="eastAsia" w:ascii="宋体" w:hAnsi="宋体" w:eastAsia="宋体"/>
          <w:sz w:val="32"/>
          <w:szCs w:val="32"/>
          <w:highlight w:val="none"/>
        </w:rPr>
        <w:t>年初预算的</w:t>
      </w:r>
      <w:r>
        <w:rPr>
          <w:rFonts w:hint="eastAsia" w:ascii="宋体" w:hAnsi="宋体" w:eastAsia="宋体"/>
          <w:sz w:val="32"/>
          <w:szCs w:val="32"/>
          <w:highlight w:val="none"/>
          <w:lang w:val="en-US" w:eastAsia="zh-CN"/>
        </w:rPr>
        <w:t>275.80</w:t>
      </w:r>
      <w:r>
        <w:rPr>
          <w:rFonts w:hint="eastAsia" w:ascii="宋体" w:hAnsi="宋体" w:eastAsia="宋体"/>
          <w:sz w:val="32"/>
          <w:szCs w:val="32"/>
          <w:highlight w:val="none"/>
        </w:rPr>
        <w:t>%</w:t>
      </w:r>
      <w:r>
        <w:rPr>
          <w:rFonts w:hint="eastAsia" w:ascii="宋体" w:hAnsi="宋体" w:eastAsia="宋体"/>
          <w:sz w:val="32"/>
          <w:szCs w:val="32"/>
          <w:highlight w:val="none"/>
          <w:lang w:eastAsia="zh-CN"/>
        </w:rPr>
        <w:t>；其他一般公共服务支出</w:t>
      </w: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lang w:eastAsia="zh-CN"/>
        </w:rPr>
        <w:t>，</w:t>
      </w:r>
      <w:r>
        <w:rPr>
          <w:rFonts w:hint="eastAsia" w:ascii="宋体" w:hAnsi="宋体" w:eastAsia="宋体"/>
          <w:sz w:val="32"/>
          <w:szCs w:val="32"/>
          <w:highlight w:val="none"/>
        </w:rPr>
        <w:t>支出决算</w:t>
      </w:r>
      <w:r>
        <w:rPr>
          <w:rFonts w:hint="eastAsia" w:ascii="宋体" w:hAnsi="宋体" w:eastAsia="宋体"/>
          <w:sz w:val="32"/>
          <w:szCs w:val="32"/>
          <w:highlight w:val="none"/>
          <w:lang w:val="en-US" w:eastAsia="zh-CN"/>
        </w:rPr>
        <w:t>8万元，</w:t>
      </w:r>
      <w:r>
        <w:rPr>
          <w:rFonts w:hint="eastAsia" w:ascii="宋体" w:hAnsi="宋体" w:eastAsia="宋体"/>
          <w:sz w:val="32"/>
          <w:szCs w:val="32"/>
          <w:highlight w:val="none"/>
          <w:lang w:eastAsia="zh-CN"/>
        </w:rPr>
        <w:t>超</w:t>
      </w:r>
      <w:r>
        <w:rPr>
          <w:rFonts w:hint="eastAsia" w:ascii="宋体" w:hAnsi="宋体" w:eastAsia="宋体"/>
          <w:sz w:val="32"/>
          <w:szCs w:val="32"/>
          <w:highlight w:val="none"/>
        </w:rPr>
        <w:t>年初预算</w:t>
      </w:r>
      <w:r>
        <w:rPr>
          <w:rFonts w:hint="eastAsia" w:ascii="宋体" w:hAnsi="宋体" w:eastAsia="宋体"/>
          <w:sz w:val="32"/>
          <w:szCs w:val="32"/>
          <w:highlight w:val="none"/>
          <w:lang w:val="en-US" w:eastAsia="zh-CN"/>
        </w:rPr>
        <w:t>8万元</w:t>
      </w:r>
      <w:r>
        <w:rPr>
          <w:rFonts w:hint="eastAsia" w:ascii="宋体" w:hAnsi="宋体" w:eastAsia="宋体"/>
          <w:sz w:val="32"/>
          <w:szCs w:val="32"/>
          <w:highlight w:val="none"/>
          <w:lang w:eastAsia="zh-CN"/>
        </w:rPr>
        <w:t>。</w:t>
      </w:r>
      <w:r>
        <w:rPr>
          <w:rFonts w:hint="eastAsia" w:ascii="宋体" w:hAnsi="宋体" w:eastAsia="宋体"/>
          <w:sz w:val="32"/>
          <w:szCs w:val="32"/>
          <w:highlight w:val="none"/>
        </w:rPr>
        <w:t>一般公共服务</w:t>
      </w:r>
      <w:r>
        <w:rPr>
          <w:rFonts w:hint="eastAsia" w:ascii="宋体" w:hAnsi="宋体" w:eastAsia="宋体"/>
          <w:sz w:val="32"/>
          <w:szCs w:val="32"/>
          <w:highlight w:val="none"/>
          <w:lang w:val="en-US" w:eastAsia="zh-CN"/>
        </w:rPr>
        <w:t>支出</w:t>
      </w:r>
      <w:r>
        <w:rPr>
          <w:rFonts w:hint="eastAsia" w:ascii="宋体" w:hAnsi="宋体" w:eastAsia="宋体"/>
          <w:sz w:val="32"/>
          <w:szCs w:val="32"/>
          <w:highlight w:val="none"/>
        </w:rPr>
        <w:t>决算数大于年初预算数的主要原因是：政策性增加工资、津补贴和绩效考核奖金</w:t>
      </w:r>
      <w:r>
        <w:rPr>
          <w:rFonts w:hint="eastAsia" w:ascii="宋体" w:hAnsi="宋体" w:eastAsia="宋体"/>
          <w:sz w:val="32"/>
          <w:szCs w:val="32"/>
          <w:highlight w:val="none"/>
          <w:lang w:eastAsia="zh-CN"/>
        </w:rPr>
        <w:t>，增拨了其他共产党事务支出费用</w:t>
      </w:r>
      <w:r>
        <w:rPr>
          <w:rFonts w:hint="eastAsia" w:ascii="宋体" w:hAnsi="宋体" w:eastAsia="宋体"/>
          <w:sz w:val="32"/>
          <w:szCs w:val="32"/>
          <w:highlight w:val="none"/>
        </w:rPr>
        <w:t>。</w:t>
      </w:r>
    </w:p>
    <w:p>
      <w:pPr>
        <w:pStyle w:val="10"/>
        <w:ind w:firstLine="640" w:firstLineChars="200"/>
        <w:rPr>
          <w:rFonts w:ascii="宋体" w:hAnsi="宋体" w:eastAsia="宋体"/>
          <w:sz w:val="32"/>
          <w:szCs w:val="32"/>
          <w:highlight w:val="none"/>
        </w:rPr>
      </w:pPr>
      <w:r>
        <w:rPr>
          <w:rFonts w:hint="eastAsia" w:ascii="宋体" w:hAnsi="宋体" w:eastAsia="宋体"/>
          <w:sz w:val="32"/>
          <w:szCs w:val="32"/>
          <w:highlight w:val="none"/>
        </w:rPr>
        <w:t>2、</w:t>
      </w:r>
      <w:r>
        <w:rPr>
          <w:rFonts w:hint="eastAsia" w:ascii="宋体" w:hAnsi="宋体" w:eastAsia="宋体"/>
          <w:sz w:val="32"/>
          <w:szCs w:val="32"/>
          <w:highlight w:val="none"/>
          <w:lang w:eastAsia="zh-CN"/>
        </w:rPr>
        <w:t>公共安全</w:t>
      </w:r>
      <w:r>
        <w:rPr>
          <w:rFonts w:hint="eastAsia" w:ascii="宋体" w:hAnsi="宋体" w:eastAsia="宋体"/>
          <w:sz w:val="32"/>
          <w:szCs w:val="32"/>
          <w:highlight w:val="none"/>
        </w:rPr>
        <w:t>支出</w:t>
      </w:r>
    </w:p>
    <w:p>
      <w:pPr>
        <w:pStyle w:val="10"/>
        <w:ind w:firstLine="640" w:firstLineChars="200"/>
        <w:rPr>
          <w:rFonts w:hint="eastAsia" w:ascii="宋体" w:hAnsi="宋体" w:eastAsia="宋体"/>
          <w:sz w:val="32"/>
          <w:szCs w:val="32"/>
          <w:highlight w:val="none"/>
          <w:lang w:val="en-US" w:eastAsia="zh-CN"/>
        </w:rPr>
      </w:pP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12</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18.84</w:t>
      </w:r>
      <w:r>
        <w:rPr>
          <w:rFonts w:hint="eastAsia" w:ascii="宋体" w:hAnsi="宋体" w:eastAsia="宋体"/>
          <w:sz w:val="32"/>
          <w:szCs w:val="32"/>
          <w:highlight w:val="none"/>
        </w:rPr>
        <w:t>万元，完成年初预算的</w:t>
      </w:r>
      <w:r>
        <w:rPr>
          <w:rFonts w:hint="eastAsia" w:ascii="宋体" w:hAnsi="宋体" w:eastAsia="宋体"/>
          <w:sz w:val="32"/>
          <w:szCs w:val="32"/>
          <w:highlight w:val="none"/>
          <w:lang w:val="en-US" w:eastAsia="zh-CN"/>
        </w:rPr>
        <w:t>157.00</w:t>
      </w:r>
      <w:r>
        <w:rPr>
          <w:rFonts w:hint="eastAsia" w:ascii="宋体" w:hAnsi="宋体" w:eastAsia="宋体"/>
          <w:sz w:val="32"/>
          <w:szCs w:val="32"/>
          <w:highlight w:val="none"/>
        </w:rPr>
        <w:t>%，</w:t>
      </w:r>
      <w:r>
        <w:rPr>
          <w:rFonts w:hint="eastAsia" w:ascii="宋体" w:hAnsi="宋体" w:eastAsia="宋体"/>
          <w:sz w:val="32"/>
          <w:szCs w:val="32"/>
          <w:highlight w:val="none"/>
          <w:lang w:eastAsia="zh-CN"/>
        </w:rPr>
        <w:t>其中：</w:t>
      </w:r>
      <w:r>
        <w:rPr>
          <w:rFonts w:hint="eastAsia" w:ascii="宋体" w:hAnsi="宋体" w:eastAsia="宋体"/>
          <w:sz w:val="32"/>
          <w:szCs w:val="32"/>
          <w:highlight w:val="none"/>
          <w:lang w:val="en-US" w:eastAsia="zh-CN"/>
        </w:rPr>
        <w:t>公安支出</w:t>
      </w: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万元，支出决算为</w:t>
      </w:r>
      <w:r>
        <w:rPr>
          <w:rFonts w:hint="eastAsia" w:ascii="宋体" w:hAnsi="宋体" w:eastAsia="宋体"/>
          <w:sz w:val="32"/>
          <w:szCs w:val="32"/>
          <w:highlight w:val="none"/>
          <w:lang w:val="en-US" w:eastAsia="zh-CN"/>
        </w:rPr>
        <w:t>10</w:t>
      </w:r>
      <w:r>
        <w:rPr>
          <w:rFonts w:hint="eastAsia" w:ascii="宋体" w:hAnsi="宋体" w:eastAsia="宋体"/>
          <w:sz w:val="32"/>
          <w:szCs w:val="32"/>
          <w:highlight w:val="none"/>
        </w:rPr>
        <w:t>万元，完成年初预算的</w:t>
      </w:r>
      <w:r>
        <w:rPr>
          <w:rFonts w:hint="eastAsia" w:ascii="宋体" w:hAnsi="宋体" w:eastAsia="宋体"/>
          <w:sz w:val="32"/>
          <w:szCs w:val="32"/>
          <w:highlight w:val="none"/>
          <w:lang w:val="en-US" w:eastAsia="zh-CN"/>
        </w:rPr>
        <w:t>100.00</w:t>
      </w:r>
      <w:r>
        <w:rPr>
          <w:rFonts w:hint="eastAsia" w:ascii="宋体" w:hAnsi="宋体" w:eastAsia="宋体"/>
          <w:sz w:val="32"/>
          <w:szCs w:val="32"/>
          <w:highlight w:val="none"/>
        </w:rPr>
        <w:t>%</w:t>
      </w:r>
      <w:r>
        <w:rPr>
          <w:rFonts w:hint="eastAsia" w:ascii="宋体" w:hAnsi="宋体" w:eastAsia="宋体"/>
          <w:sz w:val="32"/>
          <w:szCs w:val="32"/>
          <w:highlight w:val="none"/>
          <w:lang w:eastAsia="zh-CN"/>
        </w:rPr>
        <w:t>；强制戒毒隔离支出年初预算为</w:t>
      </w:r>
      <w:r>
        <w:rPr>
          <w:rFonts w:hint="eastAsia" w:ascii="宋体" w:hAnsi="宋体" w:eastAsia="宋体"/>
          <w:sz w:val="32"/>
          <w:szCs w:val="32"/>
          <w:highlight w:val="none"/>
          <w:lang w:val="en-US" w:eastAsia="zh-CN"/>
        </w:rPr>
        <w:t>0，支出决算为2.44万元，超年初预算2.44万元；其他公共安全支出年初预算为2万元，支出决算为6.40万元，超年初预算4.40万元。</w:t>
      </w:r>
      <w:r>
        <w:rPr>
          <w:rFonts w:hint="eastAsia" w:ascii="宋体" w:hAnsi="宋体" w:eastAsia="宋体"/>
          <w:sz w:val="32"/>
          <w:szCs w:val="32"/>
          <w:highlight w:val="none"/>
        </w:rPr>
        <w:t>决算数</w:t>
      </w:r>
      <w:r>
        <w:rPr>
          <w:rFonts w:hint="eastAsia" w:ascii="宋体" w:hAnsi="宋体" w:eastAsia="宋体"/>
          <w:sz w:val="32"/>
          <w:szCs w:val="32"/>
          <w:highlight w:val="none"/>
          <w:lang w:eastAsia="zh-CN"/>
        </w:rPr>
        <w:t>大于</w:t>
      </w:r>
      <w:r>
        <w:rPr>
          <w:rFonts w:hint="eastAsia" w:ascii="宋体" w:hAnsi="宋体" w:eastAsia="宋体"/>
          <w:sz w:val="32"/>
          <w:szCs w:val="32"/>
          <w:highlight w:val="none"/>
        </w:rPr>
        <w:t>年初预算数的主要原因是：</w:t>
      </w:r>
      <w:r>
        <w:rPr>
          <w:rFonts w:hint="eastAsia" w:ascii="宋体" w:hAnsi="宋体" w:eastAsia="宋体"/>
          <w:sz w:val="32"/>
          <w:szCs w:val="32"/>
          <w:highlight w:val="none"/>
          <w:lang w:val="en-US" w:eastAsia="zh-CN"/>
        </w:rPr>
        <w:t>新增戒毒所的隔离相关支出。</w:t>
      </w:r>
    </w:p>
    <w:p>
      <w:pPr>
        <w:pStyle w:val="10"/>
        <w:numPr>
          <w:ilvl w:val="0"/>
          <w:numId w:val="0"/>
        </w:numPr>
        <w:ind w:firstLine="640" w:firstLineChars="200"/>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3、教育支出</w:t>
      </w:r>
    </w:p>
    <w:p>
      <w:pPr>
        <w:pStyle w:val="10"/>
        <w:numPr>
          <w:ilvl w:val="0"/>
          <w:numId w:val="0"/>
        </w:numPr>
        <w:tabs>
          <w:tab w:val="left" w:pos="3583"/>
        </w:tabs>
        <w:ind w:firstLine="640" w:firstLineChars="200"/>
        <w:rPr>
          <w:rFonts w:hint="default" w:ascii="宋体" w:hAnsi="宋体" w:eastAsia="宋体"/>
          <w:sz w:val="32"/>
          <w:szCs w:val="32"/>
          <w:highlight w:val="none"/>
          <w:lang w:val="en-US" w:eastAsia="zh-CN"/>
        </w:rPr>
      </w:pPr>
      <w:r>
        <w:rPr>
          <w:rFonts w:hint="eastAsia" w:ascii="宋体" w:hAnsi="宋体" w:eastAsia="宋体"/>
          <w:sz w:val="32"/>
          <w:szCs w:val="32"/>
          <w:highlight w:val="none"/>
          <w:lang w:val="en-US" w:eastAsia="zh-CN"/>
        </w:rPr>
        <w:t>年初预算为4万元，支出决算为5万元，完成年初预算的125.00%，</w:t>
      </w:r>
      <w:r>
        <w:rPr>
          <w:rFonts w:hint="eastAsia" w:ascii="宋体" w:hAnsi="宋体" w:eastAsia="宋体"/>
          <w:sz w:val="32"/>
          <w:szCs w:val="32"/>
          <w:highlight w:val="none"/>
          <w:lang w:eastAsia="zh-CN"/>
        </w:rPr>
        <w:t>其中：</w:t>
      </w:r>
      <w:r>
        <w:rPr>
          <w:rFonts w:hint="eastAsia" w:ascii="宋体" w:hAnsi="宋体" w:eastAsia="宋体"/>
          <w:sz w:val="32"/>
          <w:szCs w:val="32"/>
          <w:highlight w:val="none"/>
          <w:lang w:val="en-US" w:eastAsia="zh-CN"/>
        </w:rPr>
        <w:t>教育管理事务</w:t>
      </w:r>
      <w:r>
        <w:rPr>
          <w:rFonts w:hint="eastAsia" w:ascii="宋体" w:hAnsi="宋体" w:eastAsia="宋体"/>
          <w:sz w:val="32"/>
          <w:szCs w:val="32"/>
          <w:highlight w:val="none"/>
        </w:rPr>
        <w:t>年初预算为</w:t>
      </w:r>
      <w:r>
        <w:rPr>
          <w:rFonts w:hint="eastAsia" w:ascii="宋体" w:hAnsi="宋体" w:eastAsia="宋体"/>
          <w:sz w:val="32"/>
          <w:szCs w:val="32"/>
          <w:highlight w:val="none"/>
          <w:lang w:val="en-US" w:eastAsia="zh-CN"/>
        </w:rPr>
        <w:t>4</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w:t>
      </w:r>
      <w:r>
        <w:rPr>
          <w:rFonts w:hint="eastAsia" w:ascii="宋体" w:hAnsi="宋体" w:eastAsia="宋体"/>
          <w:sz w:val="32"/>
          <w:szCs w:val="32"/>
          <w:highlight w:val="none"/>
        </w:rPr>
        <w:t>支出决算为</w:t>
      </w:r>
      <w:r>
        <w:rPr>
          <w:rFonts w:hint="eastAsia" w:ascii="宋体" w:hAnsi="宋体" w:eastAsia="宋体"/>
          <w:sz w:val="32"/>
          <w:szCs w:val="32"/>
          <w:highlight w:val="none"/>
          <w:lang w:val="en-US" w:eastAsia="zh-CN"/>
        </w:rPr>
        <w:t>4</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w:t>
      </w:r>
      <w:r>
        <w:rPr>
          <w:rFonts w:hint="eastAsia" w:ascii="宋体" w:hAnsi="宋体" w:eastAsia="宋体"/>
          <w:sz w:val="32"/>
          <w:szCs w:val="32"/>
          <w:highlight w:val="none"/>
        </w:rPr>
        <w:t>完成年初预算的</w:t>
      </w:r>
      <w:r>
        <w:rPr>
          <w:rFonts w:hint="eastAsia" w:ascii="宋体" w:hAnsi="宋体" w:eastAsia="宋体"/>
          <w:sz w:val="32"/>
          <w:szCs w:val="32"/>
          <w:highlight w:val="none"/>
          <w:lang w:val="en-US" w:eastAsia="zh-CN"/>
        </w:rPr>
        <w:t>100</w:t>
      </w:r>
      <w:r>
        <w:rPr>
          <w:rFonts w:hint="eastAsia" w:ascii="宋体" w:hAnsi="宋体" w:eastAsia="宋体"/>
          <w:sz w:val="32"/>
          <w:szCs w:val="32"/>
          <w:highlight w:val="none"/>
        </w:rPr>
        <w:t>%</w:t>
      </w:r>
      <w:r>
        <w:rPr>
          <w:rFonts w:hint="eastAsia" w:ascii="宋体" w:hAnsi="宋体" w:eastAsia="宋体"/>
          <w:sz w:val="32"/>
          <w:szCs w:val="32"/>
          <w:highlight w:val="none"/>
          <w:lang w:eastAsia="zh-CN"/>
        </w:rPr>
        <w:t>；其他教育支出年初预算为</w:t>
      </w:r>
      <w:r>
        <w:rPr>
          <w:rFonts w:hint="eastAsia" w:ascii="宋体" w:hAnsi="宋体" w:eastAsia="宋体"/>
          <w:sz w:val="32"/>
          <w:szCs w:val="32"/>
          <w:highlight w:val="none"/>
          <w:lang w:val="en-US" w:eastAsia="zh-CN"/>
        </w:rPr>
        <w:t>0，支出决算为1万元，超年初预算1万元。</w:t>
      </w:r>
    </w:p>
    <w:p>
      <w:pPr>
        <w:pStyle w:val="10"/>
        <w:numPr>
          <w:ilvl w:val="0"/>
          <w:numId w:val="0"/>
        </w:numPr>
        <w:tabs>
          <w:tab w:val="left" w:pos="3583"/>
        </w:tabs>
        <w:ind w:firstLine="640" w:firstLineChars="200"/>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4、文化旅游体育与传媒支出</w:t>
      </w:r>
    </w:p>
    <w:p>
      <w:pPr>
        <w:pStyle w:val="10"/>
        <w:numPr>
          <w:ilvl w:val="0"/>
          <w:numId w:val="0"/>
        </w:numPr>
        <w:tabs>
          <w:tab w:val="left" w:pos="3583"/>
        </w:tabs>
        <w:ind w:firstLine="640" w:firstLineChars="200"/>
        <w:rPr>
          <w:rFonts w:hint="default" w:ascii="宋体" w:hAnsi="宋体" w:eastAsia="宋体"/>
          <w:sz w:val="32"/>
          <w:szCs w:val="32"/>
          <w:highlight w:val="none"/>
          <w:lang w:val="en-US" w:eastAsia="zh-CN"/>
        </w:rPr>
      </w:pPr>
      <w:r>
        <w:rPr>
          <w:rFonts w:hint="eastAsia" w:ascii="宋体" w:hAnsi="宋体" w:eastAsia="宋体"/>
          <w:sz w:val="32"/>
          <w:szCs w:val="32"/>
          <w:highlight w:val="none"/>
          <w:lang w:val="en-US" w:eastAsia="zh-CN"/>
        </w:rPr>
        <w:t xml:space="preserve">年初预算为0万元，支出决算为9.23万元，超年初预算9.23万元，其中：其他文化和旅游支出年初预算为0万元，支出决算为2.98万元，超年初预算2.98万元；宣传文化发展专项支出年初预算为0万元，支出决算为1.30万元，超年初预算1.30万元；其他文化旅游体育与传媒支出年初预算为0万元，支出决算为6.25万元，超年初预算6.25万元。 </w:t>
      </w:r>
    </w:p>
    <w:p>
      <w:pPr>
        <w:pStyle w:val="10"/>
        <w:numPr>
          <w:ilvl w:val="0"/>
          <w:numId w:val="2"/>
        </w:numPr>
        <w:tabs>
          <w:tab w:val="left" w:pos="3583"/>
        </w:tabs>
        <w:ind w:left="-10" w:leftChars="0" w:firstLine="640" w:firstLineChars="0"/>
        <w:rPr>
          <w:rFonts w:hint="default" w:ascii="宋体" w:hAnsi="宋体" w:eastAsia="宋体"/>
          <w:sz w:val="32"/>
          <w:szCs w:val="32"/>
          <w:highlight w:val="none"/>
          <w:lang w:val="en-US" w:eastAsia="zh-CN"/>
        </w:rPr>
      </w:pPr>
      <w:r>
        <w:rPr>
          <w:rFonts w:hint="eastAsia" w:ascii="宋体" w:hAnsi="宋体" w:eastAsia="宋体"/>
          <w:sz w:val="32"/>
          <w:szCs w:val="32"/>
          <w:highlight w:val="none"/>
          <w:lang w:val="en-US" w:eastAsia="zh-CN"/>
        </w:rPr>
        <w:t>社会保障和就业</w:t>
      </w:r>
      <w:r>
        <w:rPr>
          <w:rFonts w:hint="default" w:ascii="宋体" w:hAnsi="宋体" w:eastAsia="宋体"/>
          <w:sz w:val="32"/>
          <w:szCs w:val="32"/>
          <w:highlight w:val="none"/>
          <w:lang w:val="en-US" w:eastAsia="zh-CN"/>
        </w:rPr>
        <w:t>支出</w:t>
      </w:r>
    </w:p>
    <w:p>
      <w:pPr>
        <w:pStyle w:val="10"/>
        <w:numPr>
          <w:ilvl w:val="0"/>
          <w:numId w:val="0"/>
        </w:numPr>
        <w:ind w:firstLine="640" w:firstLineChars="200"/>
        <w:rPr>
          <w:rFonts w:hint="default"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235.97</w:t>
      </w:r>
      <w:r>
        <w:rPr>
          <w:rFonts w:hint="default" w:ascii="宋体" w:hAnsi="宋体" w:eastAsia="宋体"/>
          <w:sz w:val="32"/>
          <w:szCs w:val="32"/>
          <w:highlight w:val="none"/>
          <w:lang w:val="en-US" w:eastAsia="zh-CN"/>
        </w:rPr>
        <w:t>万元，支出决算为</w:t>
      </w:r>
      <w:r>
        <w:rPr>
          <w:rFonts w:hint="eastAsia" w:ascii="宋体" w:hAnsi="宋体" w:eastAsia="宋体"/>
          <w:sz w:val="32"/>
          <w:szCs w:val="32"/>
          <w:highlight w:val="none"/>
          <w:lang w:val="en-US" w:eastAsia="zh-CN"/>
        </w:rPr>
        <w:t>388.19</w:t>
      </w:r>
      <w:r>
        <w:rPr>
          <w:rFonts w:hint="default" w:ascii="宋体" w:hAnsi="宋体" w:eastAsia="宋体"/>
          <w:sz w:val="32"/>
          <w:szCs w:val="32"/>
          <w:highlight w:val="none"/>
          <w:lang w:val="en-US" w:eastAsia="zh-CN"/>
        </w:rPr>
        <w:t>万元，完成年初预算的</w:t>
      </w:r>
      <w:r>
        <w:rPr>
          <w:rFonts w:hint="eastAsia" w:ascii="宋体" w:hAnsi="宋体" w:eastAsia="宋体"/>
          <w:sz w:val="32"/>
          <w:szCs w:val="32"/>
          <w:highlight w:val="none"/>
          <w:lang w:val="en-US" w:eastAsia="zh-CN"/>
        </w:rPr>
        <w:t>164.51</w:t>
      </w:r>
      <w:r>
        <w:rPr>
          <w:rFonts w:hint="default" w:ascii="宋体" w:hAnsi="宋体" w:eastAsia="宋体"/>
          <w:sz w:val="32"/>
          <w:szCs w:val="32"/>
          <w:highlight w:val="none"/>
          <w:lang w:val="en-US" w:eastAsia="zh-CN"/>
        </w:rPr>
        <w:t>%，</w:t>
      </w:r>
      <w:r>
        <w:rPr>
          <w:rFonts w:hint="eastAsia" w:ascii="宋体" w:hAnsi="宋体" w:eastAsia="宋体"/>
          <w:sz w:val="32"/>
          <w:szCs w:val="32"/>
          <w:highlight w:val="none"/>
          <w:lang w:val="en-US" w:eastAsia="zh-CN"/>
        </w:rPr>
        <w:t>其中：人力资源和社会保障管理事务</w:t>
      </w: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0</w:t>
      </w:r>
      <w:r>
        <w:rPr>
          <w:rFonts w:hint="default" w:ascii="宋体" w:hAnsi="宋体" w:eastAsia="宋体"/>
          <w:sz w:val="32"/>
          <w:szCs w:val="32"/>
          <w:highlight w:val="none"/>
          <w:lang w:val="en-US" w:eastAsia="zh-CN"/>
        </w:rPr>
        <w:t>，支出决算为</w:t>
      </w:r>
      <w:r>
        <w:rPr>
          <w:rFonts w:hint="eastAsia" w:ascii="宋体" w:hAnsi="宋体" w:eastAsia="宋体"/>
          <w:sz w:val="32"/>
          <w:szCs w:val="32"/>
          <w:highlight w:val="none"/>
          <w:lang w:val="en-US" w:eastAsia="zh-CN"/>
        </w:rPr>
        <w:t>12.64</w:t>
      </w:r>
      <w:r>
        <w:rPr>
          <w:rFonts w:hint="default" w:ascii="宋体" w:hAnsi="宋体" w:eastAsia="宋体"/>
          <w:sz w:val="32"/>
          <w:szCs w:val="32"/>
          <w:highlight w:val="none"/>
          <w:lang w:val="en-US" w:eastAsia="zh-CN"/>
        </w:rPr>
        <w:t>万元，</w:t>
      </w:r>
      <w:r>
        <w:rPr>
          <w:rFonts w:hint="eastAsia" w:ascii="宋体" w:hAnsi="宋体" w:eastAsia="宋体"/>
          <w:sz w:val="32"/>
          <w:szCs w:val="32"/>
          <w:highlight w:val="none"/>
          <w:lang w:val="en-US" w:eastAsia="zh-CN"/>
        </w:rPr>
        <w:t>超</w:t>
      </w:r>
      <w:r>
        <w:rPr>
          <w:rFonts w:hint="default" w:ascii="宋体" w:hAnsi="宋体" w:eastAsia="宋体"/>
          <w:sz w:val="32"/>
          <w:szCs w:val="32"/>
          <w:highlight w:val="none"/>
          <w:lang w:val="en-US" w:eastAsia="zh-CN"/>
        </w:rPr>
        <w:t>年初预算</w:t>
      </w:r>
      <w:r>
        <w:rPr>
          <w:rFonts w:hint="eastAsia" w:ascii="宋体" w:hAnsi="宋体" w:eastAsia="宋体"/>
          <w:sz w:val="32"/>
          <w:szCs w:val="32"/>
          <w:highlight w:val="none"/>
          <w:lang w:val="en-US" w:eastAsia="zh-CN"/>
        </w:rPr>
        <w:t>12.64万元；民政管理事务</w:t>
      </w: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21万元</w:t>
      </w:r>
      <w:r>
        <w:rPr>
          <w:rFonts w:hint="default" w:ascii="宋体" w:hAnsi="宋体" w:eastAsia="宋体"/>
          <w:sz w:val="32"/>
          <w:szCs w:val="32"/>
          <w:highlight w:val="none"/>
          <w:lang w:val="en-US" w:eastAsia="zh-CN"/>
        </w:rPr>
        <w:t>，支出决算为</w:t>
      </w:r>
      <w:r>
        <w:rPr>
          <w:rFonts w:hint="eastAsia" w:ascii="宋体" w:hAnsi="宋体" w:eastAsia="宋体"/>
          <w:sz w:val="32"/>
          <w:szCs w:val="32"/>
          <w:highlight w:val="none"/>
          <w:lang w:val="en-US" w:eastAsia="zh-CN"/>
        </w:rPr>
        <w:t>43.84</w:t>
      </w:r>
      <w:r>
        <w:rPr>
          <w:rFonts w:hint="default" w:ascii="宋体" w:hAnsi="宋体" w:eastAsia="宋体"/>
          <w:sz w:val="32"/>
          <w:szCs w:val="32"/>
          <w:highlight w:val="none"/>
          <w:lang w:val="en-US" w:eastAsia="zh-CN"/>
        </w:rPr>
        <w:t>万元，</w:t>
      </w:r>
      <w:r>
        <w:rPr>
          <w:rFonts w:hint="eastAsia" w:ascii="宋体" w:hAnsi="宋体" w:eastAsia="宋体"/>
          <w:sz w:val="32"/>
          <w:szCs w:val="32"/>
          <w:highlight w:val="none"/>
          <w:lang w:val="en-US" w:eastAsia="zh-CN"/>
        </w:rPr>
        <w:t>超</w:t>
      </w:r>
      <w:r>
        <w:rPr>
          <w:rFonts w:hint="default" w:ascii="宋体" w:hAnsi="宋体" w:eastAsia="宋体"/>
          <w:sz w:val="32"/>
          <w:szCs w:val="32"/>
          <w:highlight w:val="none"/>
          <w:lang w:val="en-US" w:eastAsia="zh-CN"/>
        </w:rPr>
        <w:t>年初预算</w:t>
      </w:r>
      <w:r>
        <w:rPr>
          <w:rFonts w:hint="eastAsia" w:ascii="宋体" w:hAnsi="宋体" w:eastAsia="宋体"/>
          <w:sz w:val="32"/>
          <w:szCs w:val="32"/>
          <w:highlight w:val="none"/>
          <w:lang w:val="en-US" w:eastAsia="zh-CN"/>
        </w:rPr>
        <w:t>22.84万元；行政事业单位养老支出年初预算为214.97万元，支出决算为205.32万元，完成年初预算的95.51%；就业补助年初预算为0，支出决算为46.55万元，超年初预算46.55万元；其他优抚支出年初预算为0，支出决算为33.64万元，超年初预算33.64万元；退役安置年初预算为0，支出决算为1.40万元，超年初预算1.40万元；最低生活保障年初预算为0，支出决算为29.55万元，超年初预算29.55万元；临时救助年初预算为0，支出决算为8.75万元，超年初预算8.75万元；特困人员救助供养年初预算为0，支出决算为4万元，超年初预算4万元；其他社会保障和就业支出年初预算为0，支出决算为2.50万元，超年初预算2.50万元。社会保障和就业支出</w:t>
      </w:r>
      <w:r>
        <w:rPr>
          <w:rFonts w:hint="default" w:ascii="宋体" w:hAnsi="宋体" w:eastAsia="宋体"/>
          <w:sz w:val="32"/>
          <w:szCs w:val="32"/>
          <w:highlight w:val="none"/>
          <w:lang w:val="en-US" w:eastAsia="zh-CN"/>
        </w:rPr>
        <w:t>决算数</w:t>
      </w:r>
      <w:r>
        <w:rPr>
          <w:rFonts w:hint="eastAsia" w:ascii="宋体" w:hAnsi="宋体" w:eastAsia="宋体"/>
          <w:sz w:val="32"/>
          <w:szCs w:val="32"/>
          <w:highlight w:val="none"/>
          <w:lang w:val="en-US" w:eastAsia="zh-CN"/>
        </w:rPr>
        <w:t>大</w:t>
      </w:r>
      <w:r>
        <w:rPr>
          <w:rFonts w:hint="default" w:ascii="宋体" w:hAnsi="宋体" w:eastAsia="宋体"/>
          <w:sz w:val="32"/>
          <w:szCs w:val="32"/>
          <w:highlight w:val="none"/>
          <w:lang w:val="en-US" w:eastAsia="zh-CN"/>
        </w:rPr>
        <w:t>于年初预算数的主要原因是：</w:t>
      </w:r>
      <w:r>
        <w:rPr>
          <w:rFonts w:hint="eastAsia" w:ascii="宋体" w:hAnsi="宋体" w:eastAsia="宋体"/>
          <w:sz w:val="32"/>
          <w:szCs w:val="32"/>
          <w:highlight w:val="none"/>
          <w:lang w:val="en-US" w:eastAsia="zh-CN"/>
        </w:rPr>
        <w:t>政策性增加工资、津补贴、奖金使公积金缴费基数增加</w:t>
      </w:r>
      <w:r>
        <w:rPr>
          <w:rFonts w:hint="default" w:ascii="宋体" w:hAnsi="宋体" w:eastAsia="宋体"/>
          <w:sz w:val="32"/>
          <w:szCs w:val="32"/>
          <w:highlight w:val="none"/>
          <w:lang w:val="en-US" w:eastAsia="zh-CN"/>
        </w:rPr>
        <w:t>。</w:t>
      </w:r>
    </w:p>
    <w:p>
      <w:pPr>
        <w:pStyle w:val="10"/>
        <w:numPr>
          <w:ilvl w:val="0"/>
          <w:numId w:val="2"/>
        </w:numPr>
        <w:ind w:left="-10" w:leftChars="0" w:firstLine="640" w:firstLineChars="0"/>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卫生健康支出</w:t>
      </w:r>
    </w:p>
    <w:p>
      <w:pPr>
        <w:pStyle w:val="10"/>
        <w:numPr>
          <w:ilvl w:val="0"/>
          <w:numId w:val="0"/>
        </w:numPr>
        <w:ind w:firstLine="640"/>
        <w:rPr>
          <w:rFonts w:hint="eastAsia"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118.47</w:t>
      </w:r>
      <w:r>
        <w:rPr>
          <w:rFonts w:hint="default" w:ascii="宋体" w:hAnsi="宋体" w:eastAsia="宋体"/>
          <w:sz w:val="32"/>
          <w:szCs w:val="32"/>
          <w:highlight w:val="none"/>
          <w:lang w:val="en-US" w:eastAsia="zh-CN"/>
        </w:rPr>
        <w:t>万元，支出决算为</w:t>
      </w:r>
      <w:r>
        <w:rPr>
          <w:rFonts w:hint="eastAsia" w:ascii="宋体" w:hAnsi="宋体" w:eastAsia="宋体"/>
          <w:sz w:val="32"/>
          <w:szCs w:val="32"/>
          <w:highlight w:val="none"/>
          <w:lang w:val="en-US" w:eastAsia="zh-CN"/>
        </w:rPr>
        <w:t>190.36</w:t>
      </w:r>
      <w:r>
        <w:rPr>
          <w:rFonts w:hint="default" w:ascii="宋体" w:hAnsi="宋体" w:eastAsia="宋体"/>
          <w:sz w:val="32"/>
          <w:szCs w:val="32"/>
          <w:highlight w:val="none"/>
          <w:lang w:val="en-US" w:eastAsia="zh-CN"/>
        </w:rPr>
        <w:t>万元，</w:t>
      </w:r>
      <w:r>
        <w:rPr>
          <w:rFonts w:hint="eastAsia" w:ascii="宋体" w:hAnsi="宋体" w:eastAsia="宋体"/>
          <w:sz w:val="32"/>
          <w:szCs w:val="32"/>
          <w:highlight w:val="none"/>
          <w:lang w:val="en-US" w:eastAsia="zh-CN"/>
        </w:rPr>
        <w:t>超年初预算71.89万元，其中：突发公共卫生事件应急处理年初预算为0，支出决算为59.70万元，超年初预算59.70万元；计划生育事务年初预算为4万元，支出决算为4万元，完成年初预算的100%；行政事业单位医疗年初预算为114.47万元，支出决算为122.63万元，超年初预算8.16万元；医疗保障管理事务年初预算为0，支出决算为4.02万元，超年初预算4.02万元。</w:t>
      </w:r>
    </w:p>
    <w:p>
      <w:pPr>
        <w:pStyle w:val="10"/>
        <w:numPr>
          <w:ilvl w:val="0"/>
          <w:numId w:val="0"/>
        </w:numPr>
        <w:ind w:firstLine="640"/>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7、节能环保支出</w:t>
      </w:r>
    </w:p>
    <w:p>
      <w:pPr>
        <w:pStyle w:val="10"/>
        <w:numPr>
          <w:ilvl w:val="0"/>
          <w:numId w:val="0"/>
        </w:numPr>
        <w:ind w:firstLine="640"/>
        <w:rPr>
          <w:rFonts w:hint="eastAsia"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1972</w:t>
      </w:r>
      <w:r>
        <w:rPr>
          <w:rFonts w:hint="default" w:ascii="宋体" w:hAnsi="宋体" w:eastAsia="宋体"/>
          <w:sz w:val="32"/>
          <w:szCs w:val="32"/>
          <w:highlight w:val="none"/>
          <w:lang w:val="en-US" w:eastAsia="zh-CN"/>
        </w:rPr>
        <w:t>万元，支出决算为</w:t>
      </w:r>
      <w:r>
        <w:rPr>
          <w:rFonts w:hint="eastAsia" w:ascii="宋体" w:hAnsi="宋体" w:eastAsia="宋体"/>
          <w:sz w:val="32"/>
          <w:szCs w:val="32"/>
          <w:highlight w:val="none"/>
          <w:lang w:val="en-US" w:eastAsia="zh-CN"/>
        </w:rPr>
        <w:t>1107.71</w:t>
      </w:r>
      <w:r>
        <w:rPr>
          <w:rFonts w:hint="default" w:ascii="宋体" w:hAnsi="宋体" w:eastAsia="宋体"/>
          <w:sz w:val="32"/>
          <w:szCs w:val="32"/>
          <w:highlight w:val="none"/>
          <w:lang w:val="en-US" w:eastAsia="zh-CN"/>
        </w:rPr>
        <w:t>万元，</w:t>
      </w:r>
      <w:r>
        <w:rPr>
          <w:rFonts w:hint="eastAsia" w:ascii="宋体" w:hAnsi="宋体" w:eastAsia="宋体"/>
          <w:sz w:val="32"/>
          <w:szCs w:val="32"/>
          <w:highlight w:val="none"/>
          <w:lang w:val="en-US" w:eastAsia="zh-CN"/>
        </w:rPr>
        <w:t>完成年初预算的56.17%，其中：污染防治年初预算为1672万元，支出决算为918.36万元，完成年初预算54.92%；自然生态保护年初预算为300万元，支出决算为186.64万元，完成年初预算的62.21%；其他节能环保支出年初预算为0，支出决算为2.71万元，超年初预算2.71万元。</w:t>
      </w:r>
    </w:p>
    <w:p>
      <w:pPr>
        <w:pStyle w:val="10"/>
        <w:numPr>
          <w:ilvl w:val="0"/>
          <w:numId w:val="0"/>
        </w:numPr>
        <w:ind w:firstLine="640"/>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8、城乡社区支出</w:t>
      </w:r>
    </w:p>
    <w:p>
      <w:pPr>
        <w:pStyle w:val="10"/>
        <w:numPr>
          <w:ilvl w:val="0"/>
          <w:numId w:val="0"/>
        </w:numPr>
        <w:ind w:firstLine="640"/>
        <w:rPr>
          <w:rFonts w:hint="eastAsia"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2720</w:t>
      </w:r>
      <w:r>
        <w:rPr>
          <w:rFonts w:hint="default" w:ascii="宋体" w:hAnsi="宋体" w:eastAsia="宋体"/>
          <w:sz w:val="32"/>
          <w:szCs w:val="32"/>
          <w:highlight w:val="none"/>
          <w:lang w:val="en-US" w:eastAsia="zh-CN"/>
        </w:rPr>
        <w:t>万元，支出决算为</w:t>
      </w:r>
      <w:r>
        <w:rPr>
          <w:rFonts w:hint="eastAsia" w:ascii="宋体" w:hAnsi="宋体" w:eastAsia="宋体"/>
          <w:sz w:val="32"/>
          <w:szCs w:val="32"/>
          <w:highlight w:val="none"/>
          <w:lang w:val="en-US" w:eastAsia="zh-CN"/>
        </w:rPr>
        <w:t>1662.21</w:t>
      </w:r>
      <w:r>
        <w:rPr>
          <w:rFonts w:hint="default" w:ascii="宋体" w:hAnsi="宋体" w:eastAsia="宋体"/>
          <w:sz w:val="32"/>
          <w:szCs w:val="32"/>
          <w:highlight w:val="none"/>
          <w:lang w:val="en-US" w:eastAsia="zh-CN"/>
        </w:rPr>
        <w:t>万元，</w:t>
      </w:r>
      <w:r>
        <w:rPr>
          <w:rFonts w:hint="eastAsia" w:ascii="宋体" w:hAnsi="宋体" w:eastAsia="宋体"/>
          <w:sz w:val="32"/>
          <w:szCs w:val="32"/>
          <w:highlight w:val="none"/>
          <w:lang w:val="en-US" w:eastAsia="zh-CN"/>
        </w:rPr>
        <w:t>完成年初预算的61.11%，其中：城乡社区管理事务年初预算为60万元，支出决算为60万元，完成年初预算100%；城乡社区环境卫生年初预算为160万元，支出决算为160万元，完成年初预算的100%；国有土地使用权出让收入安排的支出年初预算为0，支出决算为1152.04万元，超年初预算1152.04万元；城市基础设施配套费安排的支出年初预算为0，支出决算为150万元，超年初预算150万元；其他城乡社区支出年初预算为0，支出决算为258.17万元，超年初预算258.17万元。</w:t>
      </w:r>
    </w:p>
    <w:p>
      <w:pPr>
        <w:pStyle w:val="10"/>
        <w:numPr>
          <w:ilvl w:val="0"/>
          <w:numId w:val="0"/>
        </w:numPr>
        <w:ind w:firstLine="640"/>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9、农林水支出</w:t>
      </w:r>
    </w:p>
    <w:p>
      <w:pPr>
        <w:pStyle w:val="10"/>
        <w:numPr>
          <w:ilvl w:val="0"/>
          <w:numId w:val="0"/>
        </w:numPr>
        <w:ind w:firstLine="640"/>
        <w:rPr>
          <w:rFonts w:hint="eastAsia"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4261.85</w:t>
      </w:r>
      <w:r>
        <w:rPr>
          <w:rFonts w:hint="default" w:ascii="宋体" w:hAnsi="宋体" w:eastAsia="宋体"/>
          <w:sz w:val="32"/>
          <w:szCs w:val="32"/>
          <w:highlight w:val="none"/>
          <w:lang w:val="en-US" w:eastAsia="zh-CN"/>
        </w:rPr>
        <w:t>万元，支出决算为</w:t>
      </w:r>
      <w:r>
        <w:rPr>
          <w:rFonts w:hint="eastAsia" w:ascii="宋体" w:hAnsi="宋体" w:eastAsia="宋体"/>
          <w:sz w:val="32"/>
          <w:szCs w:val="32"/>
          <w:highlight w:val="none"/>
          <w:lang w:val="en-US" w:eastAsia="zh-CN"/>
        </w:rPr>
        <w:t>4530.36</w:t>
      </w:r>
      <w:r>
        <w:rPr>
          <w:rFonts w:hint="default" w:ascii="宋体" w:hAnsi="宋体" w:eastAsia="宋体"/>
          <w:sz w:val="32"/>
          <w:szCs w:val="32"/>
          <w:highlight w:val="none"/>
          <w:lang w:val="en-US" w:eastAsia="zh-CN"/>
        </w:rPr>
        <w:t>万元，</w:t>
      </w:r>
      <w:r>
        <w:rPr>
          <w:rFonts w:hint="eastAsia" w:ascii="宋体" w:hAnsi="宋体" w:eastAsia="宋体"/>
          <w:sz w:val="32"/>
          <w:szCs w:val="32"/>
          <w:highlight w:val="none"/>
          <w:lang w:val="en-US" w:eastAsia="zh-CN"/>
        </w:rPr>
        <w:t>完成年初预算的106.30%，其中：农业农村年初预算为245万元，支出决算为460.72万元，超年初预算215.72万元；水利年初预算为0，支出决算为10.55万元，超年初预算10.55万元；扶贫年初预算为0，支出决算为244.42万元，超年初预算244.42万元；农村综合改革年初预算为3920.45万元，支出决算为3685.81万元，完成年初预算的94.01%；其他农林水支出年初预算为0，支出决算为128.86万元，超年初预算128.86万元。</w:t>
      </w:r>
    </w:p>
    <w:p>
      <w:pPr>
        <w:pStyle w:val="10"/>
        <w:numPr>
          <w:ilvl w:val="0"/>
          <w:numId w:val="0"/>
        </w:numPr>
        <w:ind w:firstLine="640"/>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10、交通运输支出</w:t>
      </w:r>
    </w:p>
    <w:p>
      <w:pPr>
        <w:pStyle w:val="10"/>
        <w:numPr>
          <w:ilvl w:val="0"/>
          <w:numId w:val="0"/>
        </w:numPr>
        <w:ind w:firstLine="640"/>
        <w:rPr>
          <w:rFonts w:hint="eastAsia"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300万元</w:t>
      </w:r>
      <w:r>
        <w:rPr>
          <w:rFonts w:hint="default" w:ascii="宋体" w:hAnsi="宋体" w:eastAsia="宋体"/>
          <w:sz w:val="32"/>
          <w:szCs w:val="32"/>
          <w:highlight w:val="none"/>
          <w:lang w:val="en-US" w:eastAsia="zh-CN"/>
        </w:rPr>
        <w:t>，支出决算为</w:t>
      </w:r>
      <w:r>
        <w:rPr>
          <w:rFonts w:hint="eastAsia" w:ascii="宋体" w:hAnsi="宋体" w:eastAsia="宋体"/>
          <w:sz w:val="32"/>
          <w:szCs w:val="32"/>
          <w:highlight w:val="none"/>
          <w:lang w:val="en-US" w:eastAsia="zh-CN"/>
        </w:rPr>
        <w:t>0</w:t>
      </w:r>
      <w:r>
        <w:rPr>
          <w:rFonts w:hint="default" w:ascii="宋体" w:hAnsi="宋体" w:eastAsia="宋体"/>
          <w:sz w:val="32"/>
          <w:szCs w:val="32"/>
          <w:highlight w:val="none"/>
          <w:lang w:val="en-US" w:eastAsia="zh-CN"/>
        </w:rPr>
        <w:t>，</w:t>
      </w:r>
      <w:r>
        <w:rPr>
          <w:rFonts w:hint="eastAsia" w:ascii="宋体" w:hAnsi="宋体" w:eastAsia="宋体"/>
          <w:sz w:val="32"/>
          <w:szCs w:val="32"/>
          <w:highlight w:val="none"/>
          <w:lang w:val="en-US" w:eastAsia="zh-CN"/>
        </w:rPr>
        <w:t>完成年初预算的0。</w:t>
      </w:r>
    </w:p>
    <w:p>
      <w:pPr>
        <w:pStyle w:val="10"/>
        <w:numPr>
          <w:ilvl w:val="0"/>
          <w:numId w:val="0"/>
        </w:numPr>
        <w:ind w:firstLine="640"/>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11、自然资源海洋气象等支出</w:t>
      </w:r>
    </w:p>
    <w:p>
      <w:pPr>
        <w:pStyle w:val="10"/>
        <w:numPr>
          <w:ilvl w:val="0"/>
          <w:numId w:val="0"/>
        </w:numPr>
        <w:ind w:firstLine="640"/>
        <w:rPr>
          <w:rFonts w:hint="eastAsia"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0</w:t>
      </w:r>
      <w:r>
        <w:rPr>
          <w:rFonts w:hint="default" w:ascii="宋体" w:hAnsi="宋体" w:eastAsia="宋体"/>
          <w:sz w:val="32"/>
          <w:szCs w:val="32"/>
          <w:highlight w:val="none"/>
          <w:lang w:val="en-US" w:eastAsia="zh-CN"/>
        </w:rPr>
        <w:t>，支出决算为</w:t>
      </w:r>
      <w:r>
        <w:rPr>
          <w:rFonts w:hint="eastAsia" w:ascii="宋体" w:hAnsi="宋体" w:eastAsia="宋体"/>
          <w:sz w:val="32"/>
          <w:szCs w:val="32"/>
          <w:highlight w:val="none"/>
          <w:lang w:val="en-US" w:eastAsia="zh-CN"/>
        </w:rPr>
        <w:t>35万元</w:t>
      </w:r>
      <w:r>
        <w:rPr>
          <w:rFonts w:hint="default" w:ascii="宋体" w:hAnsi="宋体" w:eastAsia="宋体"/>
          <w:sz w:val="32"/>
          <w:szCs w:val="32"/>
          <w:highlight w:val="none"/>
          <w:lang w:val="en-US" w:eastAsia="zh-CN"/>
        </w:rPr>
        <w:t>，</w:t>
      </w:r>
      <w:r>
        <w:rPr>
          <w:rFonts w:hint="eastAsia" w:ascii="宋体" w:hAnsi="宋体" w:eastAsia="宋体"/>
          <w:sz w:val="32"/>
          <w:szCs w:val="32"/>
          <w:highlight w:val="none"/>
          <w:lang w:val="en-US" w:eastAsia="zh-CN"/>
        </w:rPr>
        <w:t>超年初预算35万元，其中：自然资源事务年初预算为0，支出决算为35万元，超年初预算35万元。</w:t>
      </w:r>
    </w:p>
    <w:p>
      <w:pPr>
        <w:pStyle w:val="10"/>
        <w:numPr>
          <w:ilvl w:val="0"/>
          <w:numId w:val="0"/>
        </w:numPr>
        <w:ind w:firstLine="640"/>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12、住房保障支出</w:t>
      </w:r>
    </w:p>
    <w:p>
      <w:pPr>
        <w:pStyle w:val="10"/>
        <w:numPr>
          <w:ilvl w:val="0"/>
          <w:numId w:val="0"/>
        </w:numPr>
        <w:ind w:firstLine="640"/>
        <w:rPr>
          <w:rFonts w:hint="eastAsia"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90.41万元</w:t>
      </w:r>
      <w:r>
        <w:rPr>
          <w:rFonts w:hint="default" w:ascii="宋体" w:hAnsi="宋体" w:eastAsia="宋体"/>
          <w:sz w:val="32"/>
          <w:szCs w:val="32"/>
          <w:highlight w:val="none"/>
          <w:lang w:val="en-US" w:eastAsia="zh-CN"/>
        </w:rPr>
        <w:t>，支出决算为</w:t>
      </w:r>
      <w:r>
        <w:rPr>
          <w:rFonts w:hint="eastAsia" w:ascii="宋体" w:hAnsi="宋体" w:eastAsia="宋体"/>
          <w:sz w:val="32"/>
          <w:szCs w:val="32"/>
          <w:highlight w:val="none"/>
          <w:lang w:val="en-US" w:eastAsia="zh-CN"/>
        </w:rPr>
        <w:t>128.24万元</w:t>
      </w:r>
      <w:r>
        <w:rPr>
          <w:rFonts w:hint="default" w:ascii="宋体" w:hAnsi="宋体" w:eastAsia="宋体"/>
          <w:sz w:val="32"/>
          <w:szCs w:val="32"/>
          <w:highlight w:val="none"/>
          <w:lang w:val="en-US" w:eastAsia="zh-CN"/>
        </w:rPr>
        <w:t>，</w:t>
      </w:r>
      <w:r>
        <w:rPr>
          <w:rFonts w:hint="eastAsia" w:ascii="宋体" w:hAnsi="宋体" w:eastAsia="宋体"/>
          <w:sz w:val="32"/>
          <w:szCs w:val="32"/>
          <w:highlight w:val="none"/>
          <w:lang w:val="en-US" w:eastAsia="zh-CN"/>
        </w:rPr>
        <w:t>超年初预算37.83万元，其中：住房改革支出年初预算为90.41万元，支出决算为128.24万元，超年初预算37.83万元。</w:t>
      </w:r>
    </w:p>
    <w:p>
      <w:pPr>
        <w:pStyle w:val="10"/>
        <w:numPr>
          <w:ilvl w:val="0"/>
          <w:numId w:val="0"/>
        </w:numPr>
        <w:ind w:firstLine="640"/>
        <w:rPr>
          <w:rFonts w:hint="default" w:ascii="宋体" w:hAnsi="宋体" w:eastAsia="宋体"/>
          <w:sz w:val="32"/>
          <w:szCs w:val="32"/>
          <w:highlight w:val="none"/>
          <w:lang w:val="en-US" w:eastAsia="zh-CN"/>
        </w:rPr>
      </w:pPr>
      <w:r>
        <w:rPr>
          <w:rFonts w:hint="eastAsia" w:ascii="宋体" w:hAnsi="宋体" w:eastAsia="宋体"/>
          <w:sz w:val="32"/>
          <w:szCs w:val="32"/>
          <w:highlight w:val="none"/>
          <w:lang w:val="en-US" w:eastAsia="zh-CN"/>
        </w:rPr>
        <w:t>13、灾害防治及应急管理支出</w:t>
      </w:r>
    </w:p>
    <w:p>
      <w:pPr>
        <w:pStyle w:val="10"/>
        <w:numPr>
          <w:ilvl w:val="0"/>
          <w:numId w:val="0"/>
        </w:numPr>
        <w:ind w:firstLine="640"/>
        <w:rPr>
          <w:rFonts w:hint="eastAsia"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13万元</w:t>
      </w:r>
      <w:r>
        <w:rPr>
          <w:rFonts w:hint="default" w:ascii="宋体" w:hAnsi="宋体" w:eastAsia="宋体"/>
          <w:sz w:val="32"/>
          <w:szCs w:val="32"/>
          <w:highlight w:val="none"/>
          <w:lang w:val="en-US" w:eastAsia="zh-CN"/>
        </w:rPr>
        <w:t>，支出决算为</w:t>
      </w:r>
      <w:r>
        <w:rPr>
          <w:rFonts w:hint="eastAsia" w:ascii="宋体" w:hAnsi="宋体" w:eastAsia="宋体"/>
          <w:sz w:val="32"/>
          <w:szCs w:val="32"/>
          <w:highlight w:val="none"/>
          <w:lang w:val="en-US" w:eastAsia="zh-CN"/>
        </w:rPr>
        <w:t>39.95万元</w:t>
      </w:r>
      <w:r>
        <w:rPr>
          <w:rFonts w:hint="default" w:ascii="宋体" w:hAnsi="宋体" w:eastAsia="宋体"/>
          <w:sz w:val="32"/>
          <w:szCs w:val="32"/>
          <w:highlight w:val="none"/>
          <w:lang w:val="en-US" w:eastAsia="zh-CN"/>
        </w:rPr>
        <w:t>，</w:t>
      </w:r>
      <w:r>
        <w:rPr>
          <w:rFonts w:hint="eastAsia" w:ascii="宋体" w:hAnsi="宋体" w:eastAsia="宋体"/>
          <w:sz w:val="32"/>
          <w:szCs w:val="32"/>
          <w:highlight w:val="none"/>
          <w:lang w:val="en-US" w:eastAsia="zh-CN"/>
        </w:rPr>
        <w:t>超年初预算26.95万元，其中：应急管理事务年初预算为5万元，支出决算为29.98万元，超年初预算24.98万元；消防事务年初预算为8万元，支出决算为7.96万元，完成年初预算的99.50%；自然灾害救灾及恢复重建支出年初预算为0，支出决算为2万元，超年初预算2万元。</w:t>
      </w:r>
    </w:p>
    <w:p>
      <w:pPr>
        <w:pStyle w:val="10"/>
        <w:numPr>
          <w:ilvl w:val="0"/>
          <w:numId w:val="0"/>
        </w:numPr>
        <w:ind w:firstLine="640"/>
        <w:rPr>
          <w:rFonts w:hint="eastAsia" w:ascii="宋体" w:hAnsi="宋体" w:eastAsia="宋体"/>
          <w:sz w:val="32"/>
          <w:szCs w:val="32"/>
          <w:highlight w:val="none"/>
          <w:lang w:val="en-US" w:eastAsia="zh-CN"/>
        </w:rPr>
      </w:pPr>
      <w:r>
        <w:rPr>
          <w:rFonts w:hint="eastAsia" w:ascii="宋体" w:hAnsi="宋体" w:eastAsia="宋体"/>
          <w:sz w:val="32"/>
          <w:szCs w:val="32"/>
          <w:highlight w:val="none"/>
          <w:lang w:val="en-US" w:eastAsia="zh-CN"/>
        </w:rPr>
        <w:t>14、其他支出</w:t>
      </w:r>
    </w:p>
    <w:p>
      <w:pPr>
        <w:pStyle w:val="10"/>
        <w:numPr>
          <w:ilvl w:val="0"/>
          <w:numId w:val="0"/>
        </w:numPr>
        <w:ind w:firstLine="640"/>
        <w:rPr>
          <w:rFonts w:hint="eastAsia"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0</w:t>
      </w:r>
      <w:r>
        <w:rPr>
          <w:rFonts w:hint="default" w:ascii="宋体" w:hAnsi="宋体" w:eastAsia="宋体"/>
          <w:sz w:val="32"/>
          <w:szCs w:val="32"/>
          <w:highlight w:val="none"/>
          <w:lang w:val="en-US" w:eastAsia="zh-CN"/>
        </w:rPr>
        <w:t>，支出决算为</w:t>
      </w:r>
      <w:r>
        <w:rPr>
          <w:rFonts w:hint="eastAsia" w:ascii="宋体" w:hAnsi="宋体" w:eastAsia="宋体"/>
          <w:sz w:val="32"/>
          <w:szCs w:val="32"/>
          <w:highlight w:val="none"/>
          <w:lang w:val="en-US" w:eastAsia="zh-CN"/>
        </w:rPr>
        <w:t>69.87万元</w:t>
      </w:r>
      <w:r>
        <w:rPr>
          <w:rFonts w:hint="default" w:ascii="宋体" w:hAnsi="宋体" w:eastAsia="宋体"/>
          <w:sz w:val="32"/>
          <w:szCs w:val="32"/>
          <w:highlight w:val="none"/>
          <w:lang w:val="en-US" w:eastAsia="zh-CN"/>
        </w:rPr>
        <w:t>，</w:t>
      </w:r>
      <w:r>
        <w:rPr>
          <w:rFonts w:hint="eastAsia" w:ascii="宋体" w:hAnsi="宋体" w:eastAsia="宋体"/>
          <w:sz w:val="32"/>
          <w:szCs w:val="32"/>
          <w:highlight w:val="none"/>
          <w:lang w:val="en-US" w:eastAsia="zh-CN"/>
        </w:rPr>
        <w:t>超年初预算69.87万元。</w:t>
      </w:r>
    </w:p>
    <w:p>
      <w:pPr>
        <w:pStyle w:val="10"/>
        <w:numPr>
          <w:ilvl w:val="0"/>
          <w:numId w:val="0"/>
        </w:numPr>
        <w:ind w:firstLine="640"/>
        <w:rPr>
          <w:rFonts w:hint="default" w:ascii="宋体" w:hAnsi="宋体" w:eastAsia="宋体"/>
          <w:sz w:val="32"/>
          <w:szCs w:val="32"/>
          <w:highlight w:val="none"/>
          <w:lang w:val="en-US" w:eastAsia="zh-CN"/>
        </w:rPr>
      </w:pPr>
      <w:r>
        <w:rPr>
          <w:rFonts w:hint="eastAsia" w:ascii="宋体" w:hAnsi="宋体" w:eastAsia="宋体"/>
          <w:sz w:val="32"/>
          <w:szCs w:val="32"/>
          <w:highlight w:val="none"/>
          <w:lang w:val="en-US" w:eastAsia="zh-CN"/>
        </w:rPr>
        <w:t>15、抗疫特别国债安排的支出</w:t>
      </w:r>
    </w:p>
    <w:p>
      <w:pPr>
        <w:pStyle w:val="10"/>
        <w:numPr>
          <w:ilvl w:val="0"/>
          <w:numId w:val="0"/>
        </w:numPr>
        <w:ind w:firstLine="640"/>
        <w:rPr>
          <w:rFonts w:hint="default" w:ascii="宋体" w:hAnsi="宋体" w:eastAsia="宋体"/>
          <w:sz w:val="32"/>
          <w:szCs w:val="32"/>
          <w:highlight w:val="none"/>
          <w:lang w:val="en-US" w:eastAsia="zh-CN"/>
        </w:rPr>
      </w:pPr>
      <w:r>
        <w:rPr>
          <w:rFonts w:hint="default" w:ascii="宋体" w:hAnsi="宋体" w:eastAsia="宋体"/>
          <w:sz w:val="32"/>
          <w:szCs w:val="32"/>
          <w:highlight w:val="none"/>
          <w:lang w:val="en-US" w:eastAsia="zh-CN"/>
        </w:rPr>
        <w:t>年初预算为</w:t>
      </w:r>
      <w:r>
        <w:rPr>
          <w:rFonts w:hint="eastAsia" w:ascii="宋体" w:hAnsi="宋体" w:eastAsia="宋体"/>
          <w:sz w:val="32"/>
          <w:szCs w:val="32"/>
          <w:highlight w:val="none"/>
          <w:lang w:val="en-US" w:eastAsia="zh-CN"/>
        </w:rPr>
        <w:t>0</w:t>
      </w:r>
      <w:r>
        <w:rPr>
          <w:rFonts w:hint="default" w:ascii="宋体" w:hAnsi="宋体" w:eastAsia="宋体"/>
          <w:sz w:val="32"/>
          <w:szCs w:val="32"/>
          <w:highlight w:val="none"/>
          <w:lang w:val="en-US" w:eastAsia="zh-CN"/>
        </w:rPr>
        <w:t>，支出决算为</w:t>
      </w:r>
      <w:r>
        <w:rPr>
          <w:rFonts w:hint="eastAsia" w:ascii="宋体" w:hAnsi="宋体" w:eastAsia="宋体"/>
          <w:sz w:val="32"/>
          <w:szCs w:val="32"/>
          <w:highlight w:val="none"/>
          <w:lang w:val="en-US" w:eastAsia="zh-CN"/>
        </w:rPr>
        <w:t>5万元</w:t>
      </w:r>
      <w:r>
        <w:rPr>
          <w:rFonts w:hint="default" w:ascii="宋体" w:hAnsi="宋体" w:eastAsia="宋体"/>
          <w:sz w:val="32"/>
          <w:szCs w:val="32"/>
          <w:highlight w:val="none"/>
          <w:lang w:val="en-US" w:eastAsia="zh-CN"/>
        </w:rPr>
        <w:t>，</w:t>
      </w:r>
      <w:r>
        <w:rPr>
          <w:rFonts w:hint="eastAsia" w:ascii="宋体" w:hAnsi="宋体" w:eastAsia="宋体"/>
          <w:sz w:val="32"/>
          <w:szCs w:val="32"/>
          <w:highlight w:val="none"/>
          <w:lang w:val="en-US" w:eastAsia="zh-CN"/>
        </w:rPr>
        <w:t>超年初预算5万元，其中：抗疫相关支出年初预算为0，支出决算为5万元，超年初预算5万元。</w:t>
      </w:r>
    </w:p>
    <w:p>
      <w:pPr>
        <w:pStyle w:val="10"/>
        <w:jc w:val="both"/>
        <w:rPr>
          <w:rFonts w:hAnsi="黑体"/>
          <w:b/>
          <w:sz w:val="32"/>
          <w:szCs w:val="32"/>
          <w:highlight w:val="none"/>
        </w:rPr>
      </w:pPr>
      <w:r>
        <w:rPr>
          <w:rFonts w:hint="eastAsia" w:hAnsi="黑体"/>
          <w:b/>
          <w:sz w:val="32"/>
          <w:szCs w:val="32"/>
          <w:highlight w:val="none"/>
        </w:rPr>
        <w:t>六、一般公共预算财政拨款基本支出决算情况说明</w:t>
      </w:r>
    </w:p>
    <w:p>
      <w:pPr>
        <w:pStyle w:val="10"/>
        <w:ind w:firstLine="640" w:firstLineChars="200"/>
        <w:jc w:val="both"/>
        <w:rPr>
          <w:rFonts w:asciiTheme="minorEastAsia" w:hAnsiTheme="minorEastAsia" w:eastAsiaTheme="minorEastAsia"/>
          <w:i/>
          <w:color w:val="FF0000"/>
          <w:sz w:val="32"/>
          <w:szCs w:val="32"/>
          <w:highlight w:val="none"/>
        </w:rPr>
      </w:pPr>
      <w:r>
        <w:rPr>
          <w:rFonts w:hint="eastAsia" w:asciiTheme="minorEastAsia" w:hAnsiTheme="minorEastAsia" w:eastAsiaTheme="minorEastAsia"/>
          <w:sz w:val="32"/>
          <w:szCs w:val="32"/>
          <w:highlight w:val="none"/>
        </w:rPr>
        <w:t>2021年度财政拨款基本支出</w:t>
      </w:r>
      <w:r>
        <w:rPr>
          <w:rFonts w:hint="eastAsia" w:asciiTheme="minorEastAsia" w:hAnsiTheme="minorEastAsia" w:eastAsiaTheme="minorEastAsia"/>
          <w:sz w:val="32"/>
          <w:szCs w:val="32"/>
          <w:highlight w:val="none"/>
          <w:lang w:val="en-US" w:eastAsia="zh-CN"/>
        </w:rPr>
        <w:t>2292.37</w:t>
      </w:r>
      <w:r>
        <w:rPr>
          <w:rFonts w:hint="eastAsia" w:asciiTheme="minorEastAsia" w:hAnsiTheme="minorEastAsia" w:eastAsiaTheme="minorEastAsia"/>
          <w:sz w:val="32"/>
          <w:szCs w:val="32"/>
          <w:highlight w:val="none"/>
        </w:rPr>
        <w:t>万元，其中：人员经费</w:t>
      </w:r>
      <w:r>
        <w:rPr>
          <w:rFonts w:hint="eastAsia" w:asciiTheme="minorEastAsia" w:hAnsiTheme="minorEastAsia" w:eastAsiaTheme="minorEastAsia"/>
          <w:sz w:val="32"/>
          <w:szCs w:val="32"/>
          <w:highlight w:val="none"/>
          <w:lang w:val="en-US" w:eastAsia="zh-CN"/>
        </w:rPr>
        <w:t>1984.99</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86.59</w:t>
      </w:r>
      <w:r>
        <w:rPr>
          <w:rFonts w:hint="eastAsia" w:asciiTheme="minorEastAsia" w:hAnsiTheme="minorEastAsia" w:eastAsiaTheme="minorEastAsia"/>
          <w:sz w:val="32"/>
          <w:szCs w:val="32"/>
          <w:highlight w:val="none"/>
        </w:rPr>
        <w:t>%,主要包括基本工资、津贴补贴、奖金、伙食补助费</w:t>
      </w:r>
      <w:r>
        <w:rPr>
          <w:rFonts w:hint="eastAsia" w:asciiTheme="minorEastAsia" w:hAnsiTheme="minorEastAsia" w:eastAsiaTheme="minorEastAsia"/>
          <w:sz w:val="32"/>
          <w:szCs w:val="32"/>
          <w:highlight w:val="none"/>
          <w:lang w:eastAsia="zh-CN"/>
        </w:rPr>
        <w:t>等</w:t>
      </w:r>
      <w:r>
        <w:rPr>
          <w:rFonts w:hint="eastAsia" w:asciiTheme="minorEastAsia" w:hAnsiTheme="minorEastAsia" w:eastAsiaTheme="minorEastAsia"/>
          <w:sz w:val="32"/>
          <w:szCs w:val="32"/>
          <w:highlight w:val="none"/>
        </w:rPr>
        <w:t>；公用经费</w:t>
      </w:r>
      <w:r>
        <w:rPr>
          <w:rFonts w:hint="eastAsia" w:asciiTheme="minorEastAsia" w:hAnsiTheme="minorEastAsia" w:eastAsiaTheme="minorEastAsia"/>
          <w:sz w:val="32"/>
          <w:szCs w:val="32"/>
          <w:highlight w:val="none"/>
          <w:lang w:val="en-US" w:eastAsia="zh-CN"/>
        </w:rPr>
        <w:t>307.38</w:t>
      </w:r>
      <w:r>
        <w:rPr>
          <w:rFonts w:hint="eastAsia" w:asciiTheme="minorEastAsia" w:hAnsiTheme="minorEastAsia" w:eastAsiaTheme="minorEastAsia"/>
          <w:sz w:val="32"/>
          <w:szCs w:val="32"/>
          <w:highlight w:val="none"/>
        </w:rPr>
        <w:t>万元，占基本支出的</w:t>
      </w:r>
      <w:r>
        <w:rPr>
          <w:rFonts w:hint="eastAsia" w:asciiTheme="minorEastAsia" w:hAnsiTheme="minorEastAsia" w:eastAsiaTheme="minorEastAsia"/>
          <w:sz w:val="32"/>
          <w:szCs w:val="32"/>
          <w:highlight w:val="none"/>
          <w:lang w:val="en-US" w:eastAsia="zh-CN"/>
        </w:rPr>
        <w:t>13.41</w:t>
      </w:r>
      <w:r>
        <w:rPr>
          <w:rFonts w:hint="eastAsia" w:asciiTheme="minorEastAsia" w:hAnsiTheme="minorEastAsia" w:eastAsiaTheme="minorEastAsia"/>
          <w:sz w:val="32"/>
          <w:szCs w:val="32"/>
          <w:highlight w:val="none"/>
        </w:rPr>
        <w:t>%，主要包括办公费、印刷费、咨询费、手续费</w:t>
      </w:r>
      <w:r>
        <w:rPr>
          <w:rFonts w:hint="eastAsia" w:asciiTheme="minorEastAsia" w:hAnsiTheme="minorEastAsia" w:eastAsiaTheme="minorEastAsia"/>
          <w:sz w:val="32"/>
          <w:szCs w:val="32"/>
          <w:highlight w:val="none"/>
          <w:lang w:eastAsia="zh-CN"/>
        </w:rPr>
        <w:t>、委托业务费等</w:t>
      </w:r>
      <w:r>
        <w:rPr>
          <w:rFonts w:hint="eastAsia" w:asciiTheme="minorEastAsia" w:hAnsiTheme="minorEastAsia" w:eastAsiaTheme="minorEastAsia"/>
          <w:sz w:val="32"/>
          <w:szCs w:val="32"/>
          <w:highlight w:val="none"/>
        </w:rPr>
        <w:t>。</w:t>
      </w:r>
    </w:p>
    <w:p>
      <w:pPr>
        <w:pStyle w:val="10"/>
        <w:jc w:val="both"/>
        <w:rPr>
          <w:rFonts w:hAnsi="黑体"/>
          <w:b/>
          <w:sz w:val="32"/>
          <w:szCs w:val="32"/>
          <w:highlight w:val="none"/>
        </w:rPr>
      </w:pPr>
      <w:r>
        <w:rPr>
          <w:rFonts w:hint="eastAsia" w:hAnsi="黑体"/>
          <w:b/>
          <w:sz w:val="32"/>
          <w:szCs w:val="32"/>
          <w:highlight w:val="none"/>
        </w:rPr>
        <w:t>七、一般公共预算财政拨款“三公”经费支出决算情况说明</w:t>
      </w:r>
    </w:p>
    <w:p>
      <w:pPr>
        <w:pStyle w:val="10"/>
        <w:jc w:val="both"/>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（一）“三公”经费财政拨款支出决算总体情况说明</w:t>
      </w:r>
    </w:p>
    <w:p>
      <w:pPr>
        <w:pStyle w:val="10"/>
        <w:ind w:firstLine="800" w:firstLineChars="25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2021年度“三公”经费财政拨款支出预算为</w:t>
      </w:r>
      <w:r>
        <w:rPr>
          <w:rFonts w:hint="eastAsia" w:asciiTheme="minorEastAsia" w:hAnsiTheme="minorEastAsia" w:eastAsiaTheme="minorEastAsia"/>
          <w:sz w:val="32"/>
          <w:szCs w:val="32"/>
          <w:highlight w:val="none"/>
          <w:lang w:val="en-US" w:eastAsia="zh-CN"/>
        </w:rPr>
        <w:t>29</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14.41</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49.69</w:t>
      </w:r>
      <w:r>
        <w:rPr>
          <w:rFonts w:hint="eastAsia" w:asciiTheme="minorEastAsia" w:hAnsiTheme="minorEastAsia" w:eastAsiaTheme="minorEastAsia"/>
          <w:sz w:val="32"/>
          <w:szCs w:val="32"/>
          <w:highlight w:val="none"/>
        </w:rPr>
        <w:t>%，其中：</w:t>
      </w:r>
    </w:p>
    <w:p>
      <w:pPr>
        <w:pStyle w:val="10"/>
        <w:ind w:firstLine="800" w:firstLineChars="25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因公出国（境）费支出预算为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宋体" w:hAnsi="宋体" w:eastAsia="宋体"/>
          <w:sz w:val="32"/>
          <w:szCs w:val="32"/>
          <w:highlight w:val="none"/>
        </w:rPr>
        <w:t>由于预算数为0</w:t>
      </w:r>
      <w:r>
        <w:rPr>
          <w:rFonts w:hint="eastAsia" w:ascii="宋体" w:hAnsi="宋体" w:eastAsia="宋体"/>
          <w:sz w:val="32"/>
          <w:szCs w:val="32"/>
          <w:highlight w:val="none"/>
          <w:lang w:eastAsia="zh-CN"/>
        </w:rPr>
        <w:t>。</w:t>
      </w:r>
      <w:r>
        <w:rPr>
          <w:rFonts w:hint="eastAsia" w:asciiTheme="minorEastAsia" w:hAnsiTheme="minorEastAsia" w:eastAsiaTheme="minorEastAsia"/>
          <w:sz w:val="32"/>
          <w:szCs w:val="32"/>
          <w:highlight w:val="none"/>
        </w:rPr>
        <w:t>公务接待费支出预算为</w:t>
      </w:r>
      <w:r>
        <w:rPr>
          <w:rFonts w:hint="eastAsia" w:asciiTheme="minorEastAsia" w:hAnsiTheme="minorEastAsia" w:eastAsiaTheme="minorEastAsia"/>
          <w:sz w:val="32"/>
          <w:szCs w:val="32"/>
          <w:highlight w:val="none"/>
          <w:lang w:val="en-US" w:eastAsia="zh-CN"/>
        </w:rPr>
        <w:t>8</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0.07</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%，决算数小于预算数的主要原因是</w:t>
      </w:r>
      <w:r>
        <w:rPr>
          <w:rFonts w:hint="eastAsia" w:asciiTheme="minorEastAsia" w:hAnsiTheme="minorEastAsia" w:eastAsiaTheme="minorEastAsia"/>
          <w:sz w:val="32"/>
          <w:szCs w:val="32"/>
          <w:highlight w:val="none"/>
          <w:lang w:eastAsia="zh-CN"/>
        </w:rPr>
        <w:t>对公务接待支出进行了严格控制</w:t>
      </w:r>
      <w:r>
        <w:rPr>
          <w:rFonts w:hint="eastAsia" w:asciiTheme="minorEastAsia" w:hAnsiTheme="minorEastAsia" w:eastAsiaTheme="minorEastAsia"/>
          <w:sz w:val="32"/>
          <w:szCs w:val="32"/>
          <w:highlight w:val="none"/>
        </w:rPr>
        <w:t>。</w:t>
      </w:r>
      <w:r>
        <w:rPr>
          <w:rFonts w:hint="eastAsia" w:ascii="宋体" w:hAnsi="宋体" w:eastAsia="宋体"/>
          <w:sz w:val="32"/>
          <w:szCs w:val="32"/>
          <w:highlight w:val="none"/>
        </w:rPr>
        <w:t>与上年相比减少</w:t>
      </w:r>
      <w:r>
        <w:rPr>
          <w:rFonts w:hint="eastAsia" w:ascii="宋体" w:hAnsi="宋体" w:eastAsia="宋体"/>
          <w:sz w:val="32"/>
          <w:szCs w:val="32"/>
          <w:highlight w:val="none"/>
          <w:lang w:val="en-US" w:eastAsia="zh-CN"/>
        </w:rPr>
        <w:t>0.68</w:t>
      </w:r>
      <w:r>
        <w:rPr>
          <w:rFonts w:hint="eastAsia" w:ascii="宋体" w:hAnsi="宋体" w:eastAsia="宋体"/>
          <w:sz w:val="32"/>
          <w:szCs w:val="32"/>
          <w:highlight w:val="none"/>
        </w:rPr>
        <w:t>万元，减少</w:t>
      </w:r>
      <w:r>
        <w:rPr>
          <w:rFonts w:hint="eastAsia" w:ascii="宋体" w:hAnsi="宋体" w:eastAsia="宋体"/>
          <w:sz w:val="32"/>
          <w:szCs w:val="32"/>
          <w:highlight w:val="none"/>
          <w:lang w:val="en-US" w:eastAsia="zh-CN"/>
        </w:rPr>
        <w:t>90.67</w:t>
      </w:r>
      <w:r>
        <w:rPr>
          <w:rFonts w:hint="eastAsia" w:ascii="宋体" w:hAnsi="宋体" w:eastAsia="宋体"/>
          <w:sz w:val="32"/>
          <w:szCs w:val="32"/>
          <w:highlight w:val="none"/>
        </w:rPr>
        <w:t>%,减少（增长）的主要原因是</w:t>
      </w:r>
      <w:r>
        <w:rPr>
          <w:rFonts w:hint="eastAsia" w:ascii="宋体" w:hAnsi="宋体" w:eastAsia="宋体"/>
          <w:sz w:val="32"/>
          <w:szCs w:val="32"/>
          <w:highlight w:val="none"/>
          <w:lang w:val="en-US" w:eastAsia="zh-CN"/>
        </w:rPr>
        <w:t>厉行节约，严格控制支出。</w:t>
      </w:r>
      <w:bookmarkStart w:id="3" w:name="_GoBack"/>
      <w:bookmarkEnd w:id="3"/>
    </w:p>
    <w:p>
      <w:pPr>
        <w:pStyle w:val="10"/>
        <w:ind w:firstLine="640" w:firstLineChars="20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公务用车购置费支出预算为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宋体" w:hAnsi="宋体" w:eastAsia="宋体"/>
          <w:sz w:val="32"/>
          <w:szCs w:val="32"/>
          <w:highlight w:val="none"/>
        </w:rPr>
        <w:t>由于预算数为0，无法计算百分比</w:t>
      </w:r>
      <w:r>
        <w:rPr>
          <w:rFonts w:hint="eastAsia" w:ascii="宋体" w:hAnsi="宋体" w:eastAsia="宋体"/>
          <w:sz w:val="32"/>
          <w:szCs w:val="32"/>
          <w:highlight w:val="none"/>
          <w:lang w:eastAsia="zh-CN"/>
        </w:rPr>
        <w:t>。</w:t>
      </w:r>
      <w:r>
        <w:rPr>
          <w:rFonts w:hint="eastAsia" w:ascii="宋体" w:hAnsi="宋体" w:eastAsia="宋体"/>
          <w:sz w:val="32"/>
          <w:szCs w:val="32"/>
          <w:highlight w:val="none"/>
        </w:rPr>
        <w:t>决算数</w:t>
      </w:r>
      <w:r>
        <w:rPr>
          <w:rFonts w:hint="eastAsia" w:ascii="宋体" w:hAnsi="宋体" w:eastAsia="宋体"/>
          <w:sz w:val="32"/>
          <w:szCs w:val="32"/>
          <w:highlight w:val="none"/>
          <w:lang w:val="en-US" w:eastAsia="zh-CN"/>
        </w:rPr>
        <w:t>等于</w:t>
      </w:r>
      <w:r>
        <w:rPr>
          <w:rFonts w:hint="eastAsia" w:ascii="宋体" w:hAnsi="宋体" w:eastAsia="宋体"/>
          <w:sz w:val="32"/>
          <w:szCs w:val="32"/>
          <w:highlight w:val="none"/>
        </w:rPr>
        <w:t>预算数的主要原因是</w:t>
      </w:r>
      <w:r>
        <w:rPr>
          <w:rFonts w:hint="eastAsia" w:ascii="宋体" w:hAnsi="宋体" w:eastAsia="宋体"/>
          <w:sz w:val="32"/>
          <w:szCs w:val="32"/>
          <w:highlight w:val="none"/>
          <w:lang w:eastAsia="zh-CN"/>
        </w:rPr>
        <w:t>无该项支出</w:t>
      </w:r>
      <w:r>
        <w:rPr>
          <w:rFonts w:hint="eastAsia" w:ascii="宋体" w:hAnsi="宋体" w:eastAsia="宋体"/>
          <w:sz w:val="32"/>
          <w:szCs w:val="32"/>
          <w:highlight w:val="none"/>
        </w:rPr>
        <w:t>，与上年</w:t>
      </w:r>
      <w:r>
        <w:rPr>
          <w:rFonts w:hint="eastAsia" w:ascii="宋体" w:hAnsi="宋体" w:eastAsia="宋体"/>
          <w:sz w:val="32"/>
          <w:szCs w:val="32"/>
          <w:highlight w:val="none"/>
          <w:lang w:eastAsia="zh-CN"/>
        </w:rPr>
        <w:t>持平</w:t>
      </w:r>
      <w:r>
        <w:rPr>
          <w:rFonts w:hint="eastAsia" w:ascii="宋体" w:hAnsi="宋体" w:eastAsia="宋体"/>
          <w:sz w:val="32"/>
          <w:szCs w:val="32"/>
          <w:highlight w:val="none"/>
        </w:rPr>
        <w:t>,主要原因是</w:t>
      </w:r>
      <w:r>
        <w:rPr>
          <w:rFonts w:hint="eastAsia" w:ascii="宋体" w:hAnsi="宋体" w:eastAsia="宋体"/>
          <w:sz w:val="32"/>
          <w:szCs w:val="32"/>
          <w:highlight w:val="none"/>
          <w:lang w:eastAsia="zh-CN"/>
        </w:rPr>
        <w:t>近两年无该项支出</w:t>
      </w:r>
      <w:r>
        <w:rPr>
          <w:rFonts w:hint="eastAsia" w:ascii="宋体" w:hAnsi="宋体" w:eastAsia="宋体"/>
          <w:sz w:val="32"/>
          <w:szCs w:val="32"/>
          <w:highlight w:val="none"/>
        </w:rPr>
        <w:t>。</w:t>
      </w:r>
    </w:p>
    <w:p>
      <w:pPr>
        <w:pStyle w:val="10"/>
        <w:ind w:firstLine="640" w:firstLineChars="20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公务用车运行维护费支出预算为</w:t>
      </w:r>
      <w:r>
        <w:rPr>
          <w:rFonts w:hint="eastAsia" w:asciiTheme="minorEastAsia" w:hAnsiTheme="minorEastAsia" w:eastAsiaTheme="minorEastAsia"/>
          <w:sz w:val="32"/>
          <w:szCs w:val="32"/>
          <w:highlight w:val="none"/>
          <w:lang w:val="en-US" w:eastAsia="zh-CN"/>
        </w:rPr>
        <w:t>21</w:t>
      </w:r>
      <w:r>
        <w:rPr>
          <w:rFonts w:hint="eastAsia" w:asciiTheme="minorEastAsia" w:hAnsiTheme="minorEastAsia" w:eastAsiaTheme="minorEastAsia"/>
          <w:sz w:val="32"/>
          <w:szCs w:val="32"/>
          <w:highlight w:val="none"/>
        </w:rPr>
        <w:t>万元，支出决算为</w:t>
      </w:r>
      <w:r>
        <w:rPr>
          <w:rFonts w:hint="eastAsia" w:asciiTheme="minorEastAsia" w:hAnsiTheme="minorEastAsia" w:eastAsiaTheme="minorEastAsia"/>
          <w:sz w:val="32"/>
          <w:szCs w:val="32"/>
          <w:highlight w:val="none"/>
          <w:lang w:val="en-US" w:eastAsia="zh-CN"/>
        </w:rPr>
        <w:t>14.34</w:t>
      </w:r>
      <w:r>
        <w:rPr>
          <w:rFonts w:hint="eastAsia" w:asciiTheme="minorEastAsia" w:hAnsiTheme="minorEastAsia" w:eastAsiaTheme="minorEastAsia"/>
          <w:sz w:val="32"/>
          <w:szCs w:val="32"/>
          <w:highlight w:val="none"/>
        </w:rPr>
        <w:t>万元，完成预算的</w:t>
      </w:r>
      <w:r>
        <w:rPr>
          <w:rFonts w:hint="eastAsia" w:asciiTheme="minorEastAsia" w:hAnsiTheme="minorEastAsia" w:eastAsiaTheme="minorEastAsia"/>
          <w:sz w:val="32"/>
          <w:szCs w:val="32"/>
          <w:highlight w:val="none"/>
          <w:lang w:val="en-US" w:eastAsia="zh-CN"/>
        </w:rPr>
        <w:t>68.29</w:t>
      </w:r>
      <w:r>
        <w:rPr>
          <w:rFonts w:hint="eastAsia" w:asciiTheme="minorEastAsia" w:hAnsiTheme="minorEastAsia" w:eastAsiaTheme="minorEastAsia"/>
          <w:sz w:val="32"/>
          <w:szCs w:val="32"/>
          <w:highlight w:val="none"/>
        </w:rPr>
        <w:t>%，决算数小于预算数的主要原因是对公务车维护管理进行了严格控制，与上年相比减少</w:t>
      </w:r>
      <w:r>
        <w:rPr>
          <w:rFonts w:hint="eastAsia" w:asciiTheme="minorEastAsia" w:hAnsiTheme="minorEastAsia" w:eastAsiaTheme="minorEastAsia"/>
          <w:sz w:val="32"/>
          <w:szCs w:val="32"/>
          <w:highlight w:val="none"/>
          <w:lang w:val="en-US" w:eastAsia="zh-CN"/>
        </w:rPr>
        <w:t>0.3</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宋体" w:hAnsi="宋体" w:eastAsia="宋体"/>
          <w:sz w:val="32"/>
          <w:szCs w:val="32"/>
          <w:highlight w:val="none"/>
        </w:rPr>
        <w:t>主要原因是</w:t>
      </w:r>
      <w:r>
        <w:rPr>
          <w:rFonts w:hint="eastAsia" w:ascii="宋体" w:hAnsi="宋体" w:eastAsia="宋体"/>
          <w:sz w:val="32"/>
          <w:szCs w:val="32"/>
          <w:highlight w:val="none"/>
          <w:lang w:eastAsia="zh-CN"/>
        </w:rPr>
        <w:t>继续贯彻厉行节约减少开支，压减“三公”经费</w:t>
      </w:r>
      <w:r>
        <w:rPr>
          <w:rFonts w:hint="eastAsia" w:ascii="宋体" w:hAnsi="宋体" w:eastAsia="宋体"/>
          <w:sz w:val="32"/>
          <w:szCs w:val="32"/>
          <w:highlight w:val="none"/>
        </w:rPr>
        <w:t>。</w:t>
      </w:r>
    </w:p>
    <w:p>
      <w:pPr>
        <w:pStyle w:val="10"/>
        <w:jc w:val="both"/>
        <w:rPr>
          <w:rFonts w:asciiTheme="minorEastAsia" w:hAnsiTheme="minorEastAsia" w:eastAsiaTheme="minorEastAsia"/>
          <w:b/>
          <w:sz w:val="32"/>
          <w:szCs w:val="32"/>
          <w:highlight w:val="none"/>
        </w:rPr>
      </w:pPr>
      <w:r>
        <w:rPr>
          <w:rFonts w:hint="eastAsia" w:asciiTheme="minorEastAsia" w:hAnsiTheme="minorEastAsia" w:eastAsiaTheme="minorEastAsia"/>
          <w:b/>
          <w:sz w:val="32"/>
          <w:szCs w:val="32"/>
          <w:highlight w:val="none"/>
        </w:rPr>
        <w:t>（二）“三公”经费财政拨款支出决算具体情况说明</w:t>
      </w:r>
    </w:p>
    <w:p>
      <w:pPr>
        <w:pStyle w:val="10"/>
        <w:ind w:firstLine="640" w:firstLineChars="200"/>
        <w:jc w:val="both"/>
        <w:rPr>
          <w:rFonts w:hint="eastAsia"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2021年度“三公”经费财政拨款支出决算中，公务接待费支出决算</w:t>
      </w:r>
      <w:r>
        <w:rPr>
          <w:rFonts w:hint="eastAsia" w:asciiTheme="minorEastAsia" w:hAnsiTheme="minorEastAsia" w:eastAsiaTheme="minorEastAsia"/>
          <w:sz w:val="32"/>
          <w:szCs w:val="32"/>
          <w:highlight w:val="none"/>
          <w:lang w:val="en-US" w:eastAsia="zh-CN"/>
        </w:rPr>
        <w:t>0.07</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0.49</w:t>
      </w:r>
      <w:r>
        <w:rPr>
          <w:rFonts w:hint="eastAsia" w:asciiTheme="minorEastAsia" w:hAnsiTheme="minorEastAsia" w:eastAsiaTheme="minorEastAsia"/>
          <w:sz w:val="32"/>
          <w:szCs w:val="32"/>
          <w:highlight w:val="none"/>
        </w:rPr>
        <w:t>%,因公出国（境）费支出决算</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%,公务用车购置费及运行维护费支出决算</w:t>
      </w:r>
      <w:r>
        <w:rPr>
          <w:rFonts w:hint="eastAsia" w:asciiTheme="minorEastAsia" w:hAnsiTheme="minorEastAsia" w:eastAsiaTheme="minorEastAsia"/>
          <w:sz w:val="32"/>
          <w:szCs w:val="32"/>
          <w:highlight w:val="none"/>
          <w:lang w:val="en-US" w:eastAsia="zh-CN"/>
        </w:rPr>
        <w:t>14.34</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99.51</w:t>
      </w:r>
      <w:r>
        <w:rPr>
          <w:rFonts w:hint="eastAsia" w:asciiTheme="minorEastAsia" w:hAnsiTheme="minorEastAsia" w:eastAsiaTheme="minorEastAsia"/>
          <w:sz w:val="32"/>
          <w:szCs w:val="32"/>
          <w:highlight w:val="none"/>
        </w:rPr>
        <w:t>%。其中：</w:t>
      </w:r>
    </w:p>
    <w:p>
      <w:pPr>
        <w:pStyle w:val="10"/>
        <w:ind w:firstLine="640" w:firstLineChars="200"/>
        <w:jc w:val="both"/>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1、因公出国（境）费支出决算为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r>
        <w:rPr>
          <w:rFonts w:hint="eastAsia" w:asciiTheme="minorEastAsia" w:hAnsiTheme="minorEastAsia" w:eastAsiaTheme="minorEastAsia"/>
          <w:sz w:val="32"/>
          <w:szCs w:val="32"/>
          <w:highlight w:val="none"/>
          <w:lang w:eastAsia="zh-CN"/>
        </w:rPr>
        <w:t>。</w:t>
      </w:r>
      <w:r>
        <w:rPr>
          <w:rFonts w:hint="eastAsia" w:ascii="宋体" w:hAnsi="宋体" w:eastAsia="宋体"/>
          <w:sz w:val="32"/>
          <w:szCs w:val="32"/>
          <w:highlight w:val="none"/>
        </w:rPr>
        <w:t>全年安排因公出国（境）团组</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个，累计</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人次</w:t>
      </w:r>
      <w:r>
        <w:rPr>
          <w:rFonts w:hint="eastAsia" w:ascii="宋体" w:hAnsi="宋体" w:eastAsia="宋体"/>
          <w:sz w:val="32"/>
          <w:szCs w:val="32"/>
          <w:highlight w:val="none"/>
          <w:lang w:eastAsia="zh-CN"/>
        </w:rPr>
        <w:t>。</w:t>
      </w:r>
    </w:p>
    <w:p>
      <w:pPr>
        <w:pStyle w:val="10"/>
        <w:ind w:firstLine="640" w:firstLineChars="20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2、公务接待费支出决算为</w:t>
      </w:r>
      <w:r>
        <w:rPr>
          <w:rFonts w:hint="eastAsia" w:asciiTheme="minorEastAsia" w:hAnsiTheme="minorEastAsia" w:eastAsiaTheme="minorEastAsia"/>
          <w:sz w:val="32"/>
          <w:szCs w:val="32"/>
          <w:highlight w:val="none"/>
          <w:lang w:val="en-US" w:eastAsia="zh-CN"/>
        </w:rPr>
        <w:t>0.07</w:t>
      </w:r>
      <w:r>
        <w:rPr>
          <w:rFonts w:hint="eastAsia" w:asciiTheme="minorEastAsia" w:hAnsiTheme="minorEastAsia" w:eastAsiaTheme="minorEastAsia"/>
          <w:sz w:val="32"/>
          <w:szCs w:val="32"/>
          <w:highlight w:val="none"/>
        </w:rPr>
        <w:t>万元，全年共接待来访团组</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个、来宾</w:t>
      </w:r>
      <w:r>
        <w:rPr>
          <w:rFonts w:hint="eastAsia" w:asciiTheme="minorEastAsia" w:hAnsiTheme="minorEastAsia" w:eastAsiaTheme="minorEastAsia"/>
          <w:sz w:val="32"/>
          <w:szCs w:val="32"/>
          <w:highlight w:val="none"/>
          <w:lang w:val="en-US" w:eastAsia="zh-CN"/>
        </w:rPr>
        <w:t>7</w:t>
      </w:r>
      <w:r>
        <w:rPr>
          <w:rFonts w:hint="eastAsia" w:asciiTheme="minorEastAsia" w:hAnsiTheme="minorEastAsia" w:eastAsiaTheme="minorEastAsia"/>
          <w:sz w:val="32"/>
          <w:szCs w:val="32"/>
          <w:highlight w:val="none"/>
        </w:rPr>
        <w:t>人次，主要是</w:t>
      </w:r>
      <w:r>
        <w:rPr>
          <w:rFonts w:hint="eastAsia" w:asciiTheme="minorEastAsia" w:hAnsiTheme="minorEastAsia" w:eastAsiaTheme="minorEastAsia"/>
          <w:sz w:val="32"/>
          <w:szCs w:val="32"/>
          <w:highlight w:val="none"/>
          <w:lang w:eastAsia="zh-CN"/>
        </w:rPr>
        <w:t>接待益阳市水利局洞庭湖区堤垸工作复核</w:t>
      </w:r>
      <w:r>
        <w:rPr>
          <w:rFonts w:hint="eastAsia" w:asciiTheme="minorEastAsia" w:hAnsiTheme="minorEastAsia" w:eastAsiaTheme="minorEastAsia"/>
          <w:sz w:val="32"/>
          <w:szCs w:val="32"/>
          <w:highlight w:val="none"/>
        </w:rPr>
        <w:t>发生的接待支出。</w:t>
      </w:r>
    </w:p>
    <w:p>
      <w:pPr>
        <w:ind w:firstLine="800" w:firstLineChars="250"/>
        <w:jc w:val="both"/>
        <w:rPr>
          <w:rFonts w:cs="黑体" w:asciiTheme="minorEastAsia" w:hAnsiTheme="minorEastAsia"/>
          <w:color w:val="000000"/>
          <w:kern w:val="0"/>
          <w:sz w:val="32"/>
          <w:szCs w:val="32"/>
          <w:highlight w:val="none"/>
        </w:rPr>
      </w:pPr>
      <w:r>
        <w:rPr>
          <w:rFonts w:hint="eastAsia" w:asciiTheme="minorEastAsia" w:hAnsiTheme="minorEastAsia"/>
          <w:sz w:val="32"/>
          <w:szCs w:val="32"/>
          <w:highlight w:val="none"/>
        </w:rPr>
        <w:t>3、公务用车购置费及运行维护费支出决算为</w:t>
      </w:r>
      <w:r>
        <w:rPr>
          <w:rFonts w:hint="eastAsia" w:asciiTheme="minorEastAsia" w:hAnsiTheme="minorEastAsia"/>
          <w:sz w:val="32"/>
          <w:szCs w:val="32"/>
          <w:highlight w:val="none"/>
          <w:lang w:val="en-US" w:eastAsia="zh-CN"/>
        </w:rPr>
        <w:t>14.34</w:t>
      </w:r>
      <w:r>
        <w:rPr>
          <w:rFonts w:hint="eastAsia" w:asciiTheme="minorEastAsia" w:hAnsiTheme="minorEastAsia"/>
          <w:sz w:val="32"/>
          <w:szCs w:val="32"/>
          <w:highlight w:val="none"/>
        </w:rPr>
        <w:t>万元，其中：公务用车购置费</w:t>
      </w:r>
      <w:r>
        <w:rPr>
          <w:rFonts w:hint="eastAsia" w:asciiTheme="minorEastAsia" w:hAnsiTheme="minorEastAsia"/>
          <w:sz w:val="32"/>
          <w:szCs w:val="32"/>
          <w:highlight w:val="none"/>
          <w:lang w:val="en-US" w:eastAsia="zh-CN"/>
        </w:rPr>
        <w:t>0</w:t>
      </w:r>
      <w:r>
        <w:rPr>
          <w:rFonts w:hint="eastAsia" w:asciiTheme="minorEastAsia" w:hAnsiTheme="minorEastAsia"/>
          <w:sz w:val="32"/>
          <w:szCs w:val="32"/>
          <w:highlight w:val="none"/>
        </w:rPr>
        <w:t>万元</w:t>
      </w:r>
      <w:r>
        <w:rPr>
          <w:rFonts w:hint="eastAsia" w:asciiTheme="minorEastAsia" w:hAnsiTheme="minorEastAsia"/>
          <w:sz w:val="32"/>
          <w:szCs w:val="32"/>
          <w:highlight w:val="none"/>
          <w:lang w:eastAsia="zh-CN"/>
        </w:rPr>
        <w:t>，</w:t>
      </w:r>
      <w:r>
        <w:rPr>
          <w:rFonts w:hint="eastAsia" w:asciiTheme="minorEastAsia" w:hAnsiTheme="minorEastAsia"/>
          <w:sz w:val="32"/>
          <w:szCs w:val="32"/>
          <w:highlight w:val="none"/>
          <w:lang w:val="en-US" w:eastAsia="zh-CN"/>
        </w:rPr>
        <w:t>更新公务用车0辆</w:t>
      </w:r>
      <w:r>
        <w:rPr>
          <w:rFonts w:hint="eastAsia" w:asciiTheme="minorEastAsia" w:hAnsiTheme="minorEastAsia"/>
          <w:color w:val="000000" w:themeColor="text1"/>
          <w:sz w:val="32"/>
          <w:szCs w:val="32"/>
          <w:highlight w:val="none"/>
          <w14:textFill>
            <w14:solidFill>
              <w14:schemeClr w14:val="tx1"/>
            </w14:solidFill>
          </w14:textFill>
        </w:rPr>
        <w:t>。</w:t>
      </w:r>
      <w:r>
        <w:rPr>
          <w:rFonts w:hint="eastAsia" w:asciiTheme="minorEastAsia" w:hAnsiTheme="minorEastAsia"/>
          <w:sz w:val="32"/>
          <w:szCs w:val="32"/>
          <w:highlight w:val="none"/>
        </w:rPr>
        <w:t>公务用车运行维护费</w:t>
      </w:r>
      <w:r>
        <w:rPr>
          <w:rFonts w:hint="eastAsia" w:asciiTheme="minorEastAsia" w:hAnsiTheme="minorEastAsia"/>
          <w:sz w:val="32"/>
          <w:szCs w:val="32"/>
          <w:highlight w:val="none"/>
          <w:lang w:val="en-US" w:eastAsia="zh-CN"/>
        </w:rPr>
        <w:t>14.34</w:t>
      </w:r>
      <w:r>
        <w:rPr>
          <w:rFonts w:hint="eastAsia" w:asciiTheme="minorEastAsia" w:hAnsiTheme="minorEastAsia"/>
          <w:sz w:val="32"/>
          <w:szCs w:val="32"/>
          <w:highlight w:val="none"/>
        </w:rPr>
        <w:t>万元，主要是</w:t>
      </w:r>
      <w:r>
        <w:rPr>
          <w:rFonts w:hint="eastAsia" w:asciiTheme="minorEastAsia" w:hAnsiTheme="minorEastAsia"/>
          <w:sz w:val="32"/>
          <w:szCs w:val="32"/>
          <w:highlight w:val="none"/>
          <w:lang w:eastAsia="zh-CN"/>
        </w:rPr>
        <w:t>两辆公务车、一辆执法车的日常维护</w:t>
      </w:r>
      <w:r>
        <w:rPr>
          <w:rFonts w:hint="eastAsia" w:asciiTheme="minorEastAsia" w:hAnsiTheme="minorEastAsia"/>
          <w:sz w:val="32"/>
          <w:szCs w:val="32"/>
          <w:highlight w:val="none"/>
        </w:rPr>
        <w:t>支出，截止2021年12月31日，我单位开支财政拨款的公务用车保有量为</w:t>
      </w:r>
      <w:r>
        <w:rPr>
          <w:rFonts w:hint="eastAsia" w:asciiTheme="minorEastAsia" w:hAnsiTheme="minorEastAsia"/>
          <w:sz w:val="32"/>
          <w:szCs w:val="32"/>
          <w:highlight w:val="none"/>
          <w:lang w:val="en-US" w:eastAsia="zh-CN"/>
        </w:rPr>
        <w:t>3</w:t>
      </w:r>
      <w:r>
        <w:rPr>
          <w:rFonts w:hint="eastAsia" w:asciiTheme="minorEastAsia" w:hAnsiTheme="minorEastAsia"/>
          <w:sz w:val="32"/>
          <w:szCs w:val="32"/>
          <w:highlight w:val="none"/>
        </w:rPr>
        <w:t>辆。</w:t>
      </w:r>
    </w:p>
    <w:p>
      <w:pPr>
        <w:pStyle w:val="10"/>
        <w:jc w:val="both"/>
        <w:rPr>
          <w:rFonts w:hAnsi="黑体"/>
          <w:b/>
          <w:sz w:val="32"/>
          <w:szCs w:val="32"/>
          <w:highlight w:val="none"/>
        </w:rPr>
      </w:pPr>
      <w:r>
        <w:rPr>
          <w:rFonts w:hint="eastAsia" w:hAnsi="黑体"/>
          <w:b/>
          <w:sz w:val="32"/>
          <w:szCs w:val="32"/>
          <w:highlight w:val="none"/>
        </w:rPr>
        <w:t>八、政府性基金预算收入支出决算情况</w:t>
      </w:r>
    </w:p>
    <w:p>
      <w:pPr>
        <w:pStyle w:val="10"/>
        <w:ind w:firstLine="800" w:firstLineChars="25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2021年度政府性基金预算财政拨款收入</w:t>
      </w:r>
      <w:r>
        <w:rPr>
          <w:rFonts w:hint="eastAsia" w:asciiTheme="minorEastAsia" w:hAnsiTheme="minorEastAsia" w:eastAsiaTheme="minorEastAsia"/>
          <w:sz w:val="32"/>
          <w:szCs w:val="32"/>
          <w:highlight w:val="none"/>
          <w:lang w:val="en-US" w:eastAsia="zh-CN"/>
        </w:rPr>
        <w:t>1307.04</w:t>
      </w:r>
      <w:r>
        <w:rPr>
          <w:rFonts w:hint="eastAsia" w:asciiTheme="minorEastAsia" w:hAnsiTheme="minorEastAsia" w:eastAsiaTheme="minorEastAsia"/>
          <w:sz w:val="32"/>
          <w:szCs w:val="32"/>
          <w:highlight w:val="none"/>
        </w:rPr>
        <w:t>万元；年初结转和结余</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万元；支出</w:t>
      </w:r>
      <w:r>
        <w:rPr>
          <w:rFonts w:hint="eastAsia" w:asciiTheme="minorEastAsia" w:hAnsiTheme="minorEastAsia" w:eastAsiaTheme="minorEastAsia"/>
          <w:sz w:val="32"/>
          <w:szCs w:val="32"/>
          <w:highlight w:val="none"/>
          <w:lang w:val="en-US" w:eastAsia="zh-CN"/>
        </w:rPr>
        <w:t>1307.04</w:t>
      </w:r>
      <w:r>
        <w:rPr>
          <w:rFonts w:hint="eastAsia" w:asciiTheme="minorEastAsia" w:hAnsiTheme="minorEastAsia" w:eastAsiaTheme="minorEastAsia"/>
          <w:sz w:val="32"/>
          <w:szCs w:val="32"/>
          <w:highlight w:val="none"/>
        </w:rPr>
        <w:t>万元，其中基本支出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万元，项目支出</w:t>
      </w:r>
      <w:r>
        <w:rPr>
          <w:rFonts w:hint="eastAsia" w:asciiTheme="minorEastAsia" w:hAnsiTheme="minorEastAsia" w:eastAsiaTheme="minorEastAsia"/>
          <w:sz w:val="32"/>
          <w:szCs w:val="32"/>
          <w:highlight w:val="none"/>
          <w:lang w:val="en-US" w:eastAsia="zh-CN"/>
        </w:rPr>
        <w:t>1307.04</w:t>
      </w:r>
      <w:r>
        <w:rPr>
          <w:rFonts w:hint="eastAsia" w:asciiTheme="minorEastAsia" w:hAnsiTheme="minorEastAsia" w:eastAsiaTheme="minorEastAsia"/>
          <w:sz w:val="32"/>
          <w:szCs w:val="32"/>
          <w:highlight w:val="none"/>
        </w:rPr>
        <w:t>万元；年末结转和结余</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w:t>
      </w:r>
    </w:p>
    <w:p>
      <w:pPr>
        <w:pStyle w:val="10"/>
        <w:jc w:val="both"/>
        <w:rPr>
          <w:rFonts w:hAnsi="黑体"/>
          <w:b/>
          <w:sz w:val="32"/>
          <w:szCs w:val="32"/>
          <w:highlight w:val="none"/>
        </w:rPr>
      </w:pPr>
      <w:r>
        <w:rPr>
          <w:rFonts w:hint="eastAsia" w:hAnsi="黑体"/>
          <w:b/>
          <w:sz w:val="32"/>
          <w:szCs w:val="32"/>
          <w:highlight w:val="none"/>
        </w:rPr>
        <w:t>九、机关运行经费支出说明</w:t>
      </w:r>
    </w:p>
    <w:p>
      <w:pPr>
        <w:pStyle w:val="10"/>
        <w:ind w:firstLine="640" w:firstLineChars="200"/>
        <w:rPr>
          <w:rFonts w:hint="default"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本部门2021年度机关运行经费支出</w:t>
      </w:r>
      <w:r>
        <w:rPr>
          <w:rFonts w:hint="eastAsia" w:asciiTheme="minorEastAsia" w:hAnsiTheme="minorEastAsia" w:eastAsiaTheme="minorEastAsia"/>
          <w:sz w:val="32"/>
          <w:szCs w:val="32"/>
          <w:highlight w:val="none"/>
          <w:lang w:val="en-US" w:eastAsia="zh-CN"/>
        </w:rPr>
        <w:t>307.38</w:t>
      </w:r>
      <w:r>
        <w:rPr>
          <w:rFonts w:hint="eastAsia" w:asciiTheme="minorEastAsia" w:hAnsiTheme="minorEastAsia" w:eastAsiaTheme="minorEastAsia"/>
          <w:sz w:val="32"/>
          <w:szCs w:val="32"/>
          <w:highlight w:val="none"/>
        </w:rPr>
        <w:t>万元，比上年决算数增加</w:t>
      </w:r>
      <w:r>
        <w:rPr>
          <w:rFonts w:hint="eastAsia" w:asciiTheme="minorEastAsia" w:hAnsiTheme="minorEastAsia" w:eastAsiaTheme="minorEastAsia"/>
          <w:sz w:val="32"/>
          <w:szCs w:val="32"/>
          <w:highlight w:val="none"/>
          <w:lang w:val="en-US" w:eastAsia="zh-CN"/>
        </w:rPr>
        <w:t>27.5</w:t>
      </w:r>
      <w:r>
        <w:rPr>
          <w:rFonts w:hint="eastAsia" w:asciiTheme="minorEastAsia" w:hAnsiTheme="minorEastAsia" w:eastAsiaTheme="minorEastAsia"/>
          <w:sz w:val="32"/>
          <w:szCs w:val="32"/>
          <w:highlight w:val="none"/>
        </w:rPr>
        <w:t>万元，增长</w:t>
      </w:r>
      <w:r>
        <w:rPr>
          <w:rFonts w:hint="eastAsia" w:asciiTheme="minorEastAsia" w:hAnsiTheme="minorEastAsia" w:eastAsiaTheme="minorEastAsia"/>
          <w:sz w:val="32"/>
          <w:szCs w:val="32"/>
          <w:highlight w:val="none"/>
          <w:lang w:val="en-US" w:eastAsia="zh-CN"/>
        </w:rPr>
        <w:t>9.83</w:t>
      </w:r>
      <w:r>
        <w:rPr>
          <w:rFonts w:hint="eastAsia" w:asciiTheme="minorEastAsia" w:hAnsiTheme="minorEastAsia" w:eastAsiaTheme="minorEastAsia"/>
          <w:sz w:val="32"/>
          <w:szCs w:val="32"/>
          <w:highlight w:val="none"/>
        </w:rPr>
        <w:t>%</w:t>
      </w:r>
      <w:r>
        <w:rPr>
          <w:rFonts w:hint="eastAsia" w:asciiTheme="minorEastAsia" w:hAnsiTheme="minorEastAsia" w:eastAsiaTheme="minorEastAsia"/>
          <w:sz w:val="32"/>
          <w:szCs w:val="32"/>
          <w:highlight w:val="none"/>
          <w:lang w:eastAsia="zh-CN"/>
        </w:rPr>
        <w:t>，</w:t>
      </w:r>
      <w:r>
        <w:rPr>
          <w:rFonts w:hint="eastAsia" w:asciiTheme="minorEastAsia" w:hAnsiTheme="minorEastAsia" w:eastAsiaTheme="minorEastAsia"/>
          <w:sz w:val="32"/>
          <w:szCs w:val="32"/>
          <w:highlight w:val="none"/>
          <w:lang w:val="en-US" w:eastAsia="zh-CN"/>
        </w:rPr>
        <w:t>主要原因为</w:t>
      </w:r>
      <w:r>
        <w:rPr>
          <w:rFonts w:hint="eastAsia" w:ascii="宋体" w:hAnsi="宋体" w:eastAsia="宋体"/>
          <w:sz w:val="32"/>
          <w:szCs w:val="32"/>
          <w:highlight w:val="none"/>
          <w:lang w:eastAsia="zh-CN"/>
        </w:rPr>
        <w:t>本单位厉行节约，最大限度的减少不必要的开支。</w:t>
      </w:r>
    </w:p>
    <w:p>
      <w:pPr>
        <w:pStyle w:val="10"/>
        <w:jc w:val="both"/>
        <w:rPr>
          <w:rFonts w:hAnsi="黑体"/>
          <w:b/>
          <w:sz w:val="32"/>
          <w:szCs w:val="32"/>
          <w:highlight w:val="none"/>
        </w:rPr>
      </w:pPr>
      <w:r>
        <w:rPr>
          <w:rFonts w:hint="eastAsia" w:hAnsi="黑体"/>
          <w:b/>
          <w:sz w:val="32"/>
          <w:szCs w:val="32"/>
          <w:highlight w:val="none"/>
        </w:rPr>
        <w:t>十、一般性支出情况说明</w:t>
      </w:r>
    </w:p>
    <w:p>
      <w:pPr>
        <w:pStyle w:val="10"/>
        <w:ind w:firstLine="640" w:firstLineChars="200"/>
        <w:jc w:val="both"/>
        <w:rPr>
          <w:rFonts w:hint="eastAsia" w:asciiTheme="minorEastAsia" w:hAnsiTheme="minorEastAsia" w:eastAsiaTheme="minorEastAsia"/>
          <w:sz w:val="32"/>
          <w:szCs w:val="32"/>
          <w:highlight w:val="none"/>
          <w:lang w:val="en-US" w:eastAsia="zh-CN"/>
        </w:rPr>
      </w:pPr>
      <w:r>
        <w:rPr>
          <w:rFonts w:hint="eastAsia" w:asciiTheme="minorEastAsia" w:hAnsiTheme="minorEastAsia" w:eastAsiaTheme="minorEastAsia"/>
          <w:sz w:val="32"/>
          <w:szCs w:val="32"/>
          <w:highlight w:val="none"/>
        </w:rPr>
        <w:t>2021年本部门开支会议费</w:t>
      </w:r>
      <w:r>
        <w:rPr>
          <w:rFonts w:hint="eastAsia" w:asciiTheme="minorEastAsia" w:hAnsiTheme="minorEastAsia" w:eastAsiaTheme="minorEastAsia"/>
          <w:sz w:val="32"/>
          <w:szCs w:val="32"/>
          <w:highlight w:val="none"/>
          <w:lang w:val="en-US" w:eastAsia="zh-CN"/>
        </w:rPr>
        <w:t>4.94</w:t>
      </w:r>
      <w:r>
        <w:rPr>
          <w:rFonts w:hint="eastAsia" w:asciiTheme="minorEastAsia" w:hAnsiTheme="minorEastAsia" w:eastAsiaTheme="minorEastAsia"/>
          <w:sz w:val="32"/>
          <w:szCs w:val="32"/>
          <w:highlight w:val="none"/>
        </w:rPr>
        <w:t>万元，用于召开</w:t>
      </w:r>
      <w:r>
        <w:rPr>
          <w:rFonts w:hint="eastAsia" w:asciiTheme="minorEastAsia" w:hAnsiTheme="minorEastAsia" w:eastAsiaTheme="minorEastAsia"/>
          <w:sz w:val="32"/>
          <w:szCs w:val="32"/>
          <w:highlight w:val="none"/>
          <w:lang w:eastAsia="zh-CN"/>
        </w:rPr>
        <w:t>人大会及换届选举</w:t>
      </w:r>
      <w:r>
        <w:rPr>
          <w:rFonts w:hint="eastAsia" w:asciiTheme="minorEastAsia" w:hAnsiTheme="minorEastAsia" w:eastAsiaTheme="minorEastAsia"/>
          <w:sz w:val="32"/>
          <w:szCs w:val="32"/>
          <w:highlight w:val="none"/>
        </w:rPr>
        <w:t>会议，人数</w:t>
      </w:r>
      <w:r>
        <w:rPr>
          <w:rFonts w:hint="eastAsia" w:asciiTheme="minorEastAsia" w:hAnsiTheme="minorEastAsia" w:eastAsiaTheme="minorEastAsia"/>
          <w:sz w:val="32"/>
          <w:szCs w:val="32"/>
          <w:highlight w:val="none"/>
          <w:lang w:val="en-US" w:eastAsia="zh-CN"/>
        </w:rPr>
        <w:t>800</w:t>
      </w:r>
      <w:r>
        <w:rPr>
          <w:rFonts w:hint="eastAsia" w:asciiTheme="minorEastAsia" w:hAnsiTheme="minorEastAsia" w:eastAsiaTheme="minorEastAsia"/>
          <w:sz w:val="32"/>
          <w:szCs w:val="32"/>
          <w:highlight w:val="none"/>
        </w:rPr>
        <w:t>人，内容为</w:t>
      </w:r>
      <w:r>
        <w:rPr>
          <w:rFonts w:hint="eastAsia" w:asciiTheme="minorEastAsia" w:hAnsiTheme="minorEastAsia" w:eastAsiaTheme="minorEastAsia"/>
          <w:sz w:val="32"/>
          <w:szCs w:val="32"/>
          <w:highlight w:val="none"/>
          <w:lang w:eastAsia="zh-CN"/>
        </w:rPr>
        <w:t>谢林港镇人民代表大会及村（社区）换届选举会议。</w:t>
      </w:r>
      <w:r>
        <w:rPr>
          <w:rFonts w:hint="eastAsia" w:ascii="宋体" w:hAnsi="宋体" w:eastAsia="宋体" w:cs="宋体"/>
          <w:sz w:val="32"/>
          <w:szCs w:val="32"/>
          <w:highlight w:val="none"/>
        </w:rPr>
        <w:t>开支培训费</w:t>
      </w:r>
      <w:r>
        <w:rPr>
          <w:rFonts w:hint="eastAsia" w:ascii="宋体" w:hAnsi="宋体" w:eastAsia="宋体" w:cs="宋体"/>
          <w:sz w:val="32"/>
          <w:szCs w:val="32"/>
          <w:highlight w:val="none"/>
          <w:lang w:val="en-US" w:eastAsia="zh-CN"/>
        </w:rPr>
        <w:t>0</w:t>
      </w:r>
      <w:r>
        <w:rPr>
          <w:rFonts w:hint="eastAsia" w:ascii="宋体" w:hAnsi="宋体" w:eastAsia="宋体" w:cs="宋体"/>
          <w:sz w:val="32"/>
          <w:szCs w:val="32"/>
          <w:highlight w:val="none"/>
        </w:rPr>
        <w:t>万元，</w:t>
      </w:r>
      <w:r>
        <w:rPr>
          <w:rFonts w:hint="eastAsia" w:asciiTheme="minorEastAsia" w:hAnsiTheme="minorEastAsia" w:eastAsiaTheme="minorEastAsia"/>
          <w:sz w:val="32"/>
          <w:szCs w:val="32"/>
          <w:highlight w:val="none"/>
          <w:lang w:val="en-US" w:eastAsia="zh-CN"/>
        </w:rPr>
        <w:t>人数0人</w:t>
      </w:r>
      <w:r>
        <w:rPr>
          <w:rFonts w:hint="eastAsia" w:asciiTheme="minorEastAsia" w:hAnsiTheme="minorEastAsia" w:eastAsiaTheme="minorEastAsia"/>
          <w:sz w:val="32"/>
          <w:szCs w:val="32"/>
          <w:highlight w:val="none"/>
        </w:rPr>
        <w:t>，</w:t>
      </w:r>
      <w:r>
        <w:rPr>
          <w:rFonts w:hint="eastAsia" w:ascii="宋体" w:hAnsi="宋体" w:eastAsia="宋体" w:cs="宋体"/>
          <w:sz w:val="32"/>
          <w:szCs w:val="32"/>
          <w:highlight w:val="none"/>
          <w:lang w:eastAsia="zh-CN"/>
        </w:rPr>
        <w:t>本年无培训；</w:t>
      </w:r>
      <w:r>
        <w:rPr>
          <w:rFonts w:hint="eastAsia" w:asciiTheme="minorEastAsia" w:hAnsiTheme="minorEastAsia" w:eastAsiaTheme="minorEastAsia"/>
          <w:sz w:val="32"/>
          <w:szCs w:val="32"/>
          <w:highlight w:val="none"/>
          <w:lang w:val="en-US" w:eastAsia="zh-CN"/>
        </w:rPr>
        <w:t>未</w:t>
      </w:r>
      <w:r>
        <w:rPr>
          <w:rFonts w:hint="eastAsia" w:ascii="宋体" w:hAnsi="宋体" w:eastAsia="宋体"/>
          <w:sz w:val="32"/>
          <w:szCs w:val="32"/>
          <w:highlight w:val="none"/>
        </w:rPr>
        <w:t>举办节庆、晚会、论坛、赛事活动</w:t>
      </w:r>
      <w:r>
        <w:rPr>
          <w:rFonts w:hint="eastAsia" w:ascii="宋体" w:hAnsi="宋体" w:eastAsia="宋体"/>
          <w:sz w:val="32"/>
          <w:szCs w:val="32"/>
          <w:highlight w:val="none"/>
          <w:lang w:eastAsia="zh-CN"/>
        </w:rPr>
        <w:t>。</w:t>
      </w:r>
    </w:p>
    <w:p>
      <w:pPr>
        <w:pStyle w:val="10"/>
        <w:jc w:val="both"/>
        <w:rPr>
          <w:rFonts w:hAnsi="黑体"/>
          <w:b/>
          <w:sz w:val="32"/>
          <w:szCs w:val="32"/>
          <w:highlight w:val="none"/>
        </w:rPr>
      </w:pPr>
      <w:r>
        <w:rPr>
          <w:rFonts w:hint="eastAsia" w:hAnsi="黑体"/>
          <w:b/>
          <w:sz w:val="32"/>
          <w:szCs w:val="32"/>
          <w:highlight w:val="none"/>
        </w:rPr>
        <w:t>十一、政府采购支出说明</w:t>
      </w:r>
    </w:p>
    <w:p>
      <w:pPr>
        <w:pStyle w:val="10"/>
        <w:ind w:firstLine="640" w:firstLineChars="200"/>
        <w:jc w:val="both"/>
        <w:rPr>
          <w:rFonts w:hint="eastAsia" w:asciiTheme="minorEastAsia" w:hAnsiTheme="minorEastAsia" w:eastAsiaTheme="minorEastAsia"/>
          <w:sz w:val="32"/>
          <w:szCs w:val="32"/>
          <w:highlight w:val="none"/>
          <w:lang w:eastAsia="zh-CN"/>
        </w:rPr>
      </w:pPr>
      <w:r>
        <w:rPr>
          <w:rFonts w:hint="eastAsia" w:asciiTheme="minorEastAsia" w:hAnsiTheme="minorEastAsia" w:eastAsiaTheme="minorEastAsia"/>
          <w:sz w:val="32"/>
          <w:szCs w:val="32"/>
          <w:highlight w:val="none"/>
        </w:rPr>
        <w:t>本部门2021年度政府采购支出总额</w:t>
      </w:r>
      <w:r>
        <w:rPr>
          <w:rFonts w:hint="eastAsia" w:asciiTheme="minorEastAsia" w:hAnsiTheme="minorEastAsia" w:eastAsiaTheme="minorEastAsia"/>
          <w:sz w:val="32"/>
          <w:szCs w:val="32"/>
          <w:highlight w:val="none"/>
          <w:lang w:val="en-US" w:eastAsia="zh-CN"/>
        </w:rPr>
        <w:t>2552.13</w:t>
      </w:r>
      <w:r>
        <w:rPr>
          <w:rFonts w:hint="eastAsia" w:asciiTheme="minorEastAsia" w:hAnsiTheme="minorEastAsia" w:eastAsiaTheme="minorEastAsia"/>
          <w:sz w:val="32"/>
          <w:szCs w:val="32"/>
          <w:highlight w:val="none"/>
        </w:rPr>
        <w:t>万元，其中：政府采购货物支出</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万元、政府采购工程支出</w:t>
      </w:r>
      <w:r>
        <w:rPr>
          <w:rFonts w:hint="eastAsia" w:asciiTheme="minorEastAsia" w:hAnsiTheme="minorEastAsia" w:eastAsiaTheme="minorEastAsia"/>
          <w:sz w:val="32"/>
          <w:szCs w:val="32"/>
          <w:highlight w:val="none"/>
          <w:lang w:val="en-US" w:eastAsia="zh-CN"/>
        </w:rPr>
        <w:t>1359.89</w:t>
      </w:r>
      <w:r>
        <w:rPr>
          <w:rFonts w:hint="eastAsia" w:asciiTheme="minorEastAsia" w:hAnsiTheme="minorEastAsia" w:eastAsiaTheme="minorEastAsia"/>
          <w:sz w:val="32"/>
          <w:szCs w:val="32"/>
          <w:highlight w:val="none"/>
        </w:rPr>
        <w:t>万元、政府采购服务支出</w:t>
      </w:r>
      <w:r>
        <w:rPr>
          <w:rFonts w:hint="eastAsia" w:asciiTheme="minorEastAsia" w:hAnsiTheme="minorEastAsia" w:eastAsiaTheme="minorEastAsia"/>
          <w:sz w:val="32"/>
          <w:szCs w:val="32"/>
          <w:highlight w:val="none"/>
          <w:lang w:val="en-US" w:eastAsia="zh-CN"/>
        </w:rPr>
        <w:t>1192.24</w:t>
      </w:r>
      <w:r>
        <w:rPr>
          <w:rFonts w:hint="eastAsia" w:asciiTheme="minorEastAsia" w:hAnsiTheme="minorEastAsia" w:eastAsiaTheme="minorEastAsia"/>
          <w:sz w:val="32"/>
          <w:szCs w:val="32"/>
          <w:highlight w:val="none"/>
        </w:rPr>
        <w:t>万元。</w:t>
      </w:r>
      <w:r>
        <w:rPr>
          <w:rFonts w:hint="eastAsia" w:ascii="宋体" w:hAnsi="宋体" w:eastAsia="宋体"/>
          <w:sz w:val="32"/>
          <w:szCs w:val="32"/>
          <w:highlight w:val="none"/>
        </w:rPr>
        <w:t>授予中小企业合同金额</w:t>
      </w:r>
      <w:r>
        <w:rPr>
          <w:rFonts w:hint="eastAsia" w:ascii="宋体" w:hAnsi="宋体" w:eastAsia="宋体"/>
          <w:sz w:val="32"/>
          <w:szCs w:val="32"/>
          <w:highlight w:val="none"/>
          <w:lang w:val="en-US" w:eastAsia="zh-CN"/>
        </w:rPr>
        <w:t>2552.13</w:t>
      </w:r>
      <w:r>
        <w:rPr>
          <w:rFonts w:hint="eastAsia" w:ascii="宋体" w:hAnsi="宋体" w:eastAsia="宋体"/>
          <w:sz w:val="32"/>
          <w:szCs w:val="32"/>
          <w:highlight w:val="none"/>
        </w:rPr>
        <w:t>万元，占政府采购支出总额的</w:t>
      </w:r>
      <w:r>
        <w:rPr>
          <w:rFonts w:hint="eastAsia" w:ascii="宋体" w:hAnsi="宋体" w:eastAsia="宋体"/>
          <w:sz w:val="32"/>
          <w:szCs w:val="32"/>
          <w:highlight w:val="none"/>
          <w:lang w:val="en-US" w:eastAsia="zh-CN"/>
        </w:rPr>
        <w:t>100</w:t>
      </w:r>
      <w:r>
        <w:rPr>
          <w:rFonts w:hint="eastAsia" w:ascii="宋体" w:hAnsi="宋体" w:eastAsia="宋体"/>
          <w:sz w:val="32"/>
          <w:szCs w:val="32"/>
          <w:highlight w:val="none"/>
        </w:rPr>
        <w:t>%，其中：授予小微企业合同金额</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w:t>
      </w:r>
      <w:r>
        <w:rPr>
          <w:rFonts w:hint="eastAsia" w:ascii="宋体" w:hAnsi="宋体" w:eastAsia="宋体"/>
          <w:sz w:val="32"/>
          <w:szCs w:val="32"/>
          <w:highlight w:val="none"/>
          <w:lang w:eastAsia="zh-CN"/>
        </w:rPr>
        <w:t>，</w:t>
      </w:r>
      <w:r>
        <w:rPr>
          <w:rFonts w:hint="eastAsia" w:ascii="宋体" w:hAnsi="宋体" w:eastAsia="宋体"/>
          <w:sz w:val="32"/>
          <w:szCs w:val="32"/>
          <w:highlight w:val="none"/>
        </w:rPr>
        <w:t>占政府采购支出总额的</w:t>
      </w:r>
      <w:r>
        <w:rPr>
          <w:rFonts w:hint="eastAsia" w:ascii="宋体" w:hAnsi="宋体" w:eastAsia="宋体"/>
          <w:sz w:val="32"/>
          <w:szCs w:val="32"/>
          <w:highlight w:val="none"/>
          <w:lang w:val="en-US" w:eastAsia="zh-CN"/>
        </w:rPr>
        <w:t>0.00</w:t>
      </w:r>
      <w:r>
        <w:rPr>
          <w:rFonts w:hint="eastAsia" w:ascii="宋体" w:hAnsi="宋体" w:eastAsia="宋体"/>
          <w:sz w:val="32"/>
          <w:szCs w:val="32"/>
          <w:highlight w:val="none"/>
        </w:rPr>
        <w:t>%</w:t>
      </w:r>
      <w:r>
        <w:rPr>
          <w:rFonts w:hint="eastAsia" w:ascii="宋体" w:hAnsi="宋体" w:eastAsia="宋体"/>
          <w:sz w:val="32"/>
          <w:szCs w:val="32"/>
          <w:highlight w:val="none"/>
          <w:lang w:eastAsia="zh-CN"/>
        </w:rPr>
        <w:t>。</w:t>
      </w:r>
    </w:p>
    <w:p>
      <w:pPr>
        <w:pStyle w:val="10"/>
        <w:jc w:val="both"/>
        <w:rPr>
          <w:rFonts w:hAnsi="黑体"/>
          <w:b/>
          <w:sz w:val="32"/>
          <w:szCs w:val="32"/>
          <w:highlight w:val="none"/>
        </w:rPr>
      </w:pPr>
      <w:r>
        <w:rPr>
          <w:rFonts w:hint="eastAsia" w:hAnsi="黑体"/>
          <w:b/>
          <w:sz w:val="32"/>
          <w:szCs w:val="32"/>
          <w:highlight w:val="none"/>
        </w:rPr>
        <w:t>十二、国有资产占用情况说明</w:t>
      </w:r>
    </w:p>
    <w:p>
      <w:pPr>
        <w:pStyle w:val="10"/>
        <w:ind w:firstLine="640" w:firstLineChars="200"/>
        <w:jc w:val="both"/>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rPr>
        <w:t>截至2021年12月31日，</w:t>
      </w:r>
      <w:r>
        <w:rPr>
          <w:rFonts w:hint="eastAsia" w:ascii="宋体" w:hAnsi="宋体" w:eastAsia="宋体"/>
          <w:sz w:val="32"/>
          <w:szCs w:val="32"/>
          <w:highlight w:val="none"/>
        </w:rPr>
        <w:t>本单位共有车辆</w:t>
      </w:r>
      <w:r>
        <w:rPr>
          <w:rFonts w:hint="eastAsia" w:ascii="宋体" w:hAnsi="宋体" w:eastAsia="宋体"/>
          <w:sz w:val="32"/>
          <w:szCs w:val="32"/>
          <w:highlight w:val="none"/>
          <w:lang w:val="en-US" w:eastAsia="zh-CN"/>
        </w:rPr>
        <w:t>3</w:t>
      </w:r>
      <w:r>
        <w:rPr>
          <w:rFonts w:hint="eastAsia" w:ascii="宋体" w:hAnsi="宋体" w:eastAsia="宋体"/>
          <w:sz w:val="32"/>
          <w:szCs w:val="32"/>
          <w:highlight w:val="none"/>
        </w:rPr>
        <w:t>辆，其中，主要领导干部用车</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辆，机要通信用车</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辆、应急保障用车</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辆、执法执勤用车</w:t>
      </w:r>
      <w:r>
        <w:rPr>
          <w:rFonts w:hint="eastAsia" w:ascii="宋体" w:hAnsi="宋体" w:eastAsia="宋体"/>
          <w:sz w:val="32"/>
          <w:szCs w:val="32"/>
          <w:highlight w:val="none"/>
          <w:lang w:val="en-US" w:eastAsia="zh-CN"/>
        </w:rPr>
        <w:t>1</w:t>
      </w:r>
      <w:r>
        <w:rPr>
          <w:rFonts w:hint="eastAsia" w:ascii="宋体" w:hAnsi="宋体" w:eastAsia="宋体"/>
          <w:sz w:val="32"/>
          <w:szCs w:val="32"/>
          <w:highlight w:val="none"/>
        </w:rPr>
        <w:t>辆、特种专业技术用车</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辆、其他用车</w:t>
      </w:r>
      <w:r>
        <w:rPr>
          <w:rFonts w:hint="eastAsia" w:ascii="宋体" w:hAnsi="宋体" w:eastAsia="宋体"/>
          <w:sz w:val="32"/>
          <w:szCs w:val="32"/>
          <w:highlight w:val="none"/>
          <w:lang w:val="en-US" w:eastAsia="zh-CN"/>
        </w:rPr>
        <w:t>2</w:t>
      </w:r>
      <w:r>
        <w:rPr>
          <w:rFonts w:hint="eastAsia" w:ascii="宋体" w:hAnsi="宋体" w:eastAsia="宋体"/>
          <w:sz w:val="32"/>
          <w:szCs w:val="32"/>
          <w:highlight w:val="none"/>
        </w:rPr>
        <w:t>辆；单位价值50万元以上通用设备</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台（套）；单位价值100万元以上专用设备</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台（套）。</w:t>
      </w:r>
    </w:p>
    <w:p>
      <w:pPr>
        <w:pStyle w:val="10"/>
        <w:jc w:val="both"/>
        <w:rPr>
          <w:rFonts w:hAnsi="黑体"/>
          <w:b/>
          <w:sz w:val="32"/>
          <w:szCs w:val="32"/>
          <w:highlight w:val="none"/>
        </w:rPr>
      </w:pPr>
      <w:r>
        <w:rPr>
          <w:rFonts w:hint="eastAsia" w:hAnsi="黑体"/>
          <w:b/>
          <w:sz w:val="32"/>
          <w:szCs w:val="32"/>
          <w:highlight w:val="none"/>
        </w:rPr>
        <w:t>十三、2021年度预算绩效情况说明</w:t>
      </w:r>
    </w:p>
    <w:p>
      <w:pPr>
        <w:autoSpaceDE w:val="0"/>
        <w:autoSpaceDN w:val="0"/>
        <w:adjustRightInd w:val="0"/>
        <w:ind w:firstLine="640" w:firstLineChars="200"/>
        <w:jc w:val="both"/>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（1）绩效管理评价工作开展情况</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both"/>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根据预算绩效管理要求，我部门组织对</w:t>
      </w:r>
      <w:r>
        <w:rPr>
          <w:rFonts w:cs="黑体" w:asciiTheme="minorEastAsia" w:hAnsiTheme="minorEastAsia"/>
          <w:color w:val="000000"/>
          <w:kern w:val="0"/>
          <w:sz w:val="32"/>
          <w:szCs w:val="32"/>
          <w:highlight w:val="none"/>
        </w:rPr>
        <w:t>2021</w:t>
      </w:r>
      <w:r>
        <w:rPr>
          <w:rFonts w:hint="eastAsia" w:cs="黑体" w:asciiTheme="minorEastAsia" w:hAnsiTheme="minorEastAsia"/>
          <w:color w:val="000000"/>
          <w:kern w:val="0"/>
          <w:sz w:val="32"/>
          <w:szCs w:val="32"/>
          <w:highlight w:val="none"/>
        </w:rPr>
        <w:t>年度一般公共预算项目支出全面开展绩效自评，项目</w:t>
      </w:r>
      <w:r>
        <w:rPr>
          <w:rFonts w:hint="eastAsia" w:cs="黑体" w:asciiTheme="minorEastAsia" w:hAnsiTheme="minorEastAsia"/>
          <w:color w:val="000000"/>
          <w:kern w:val="0"/>
          <w:sz w:val="32"/>
          <w:szCs w:val="32"/>
          <w:highlight w:val="none"/>
          <w:lang w:eastAsia="zh-CN"/>
        </w:rPr>
        <w:t>共计</w:t>
      </w:r>
      <w:r>
        <w:rPr>
          <w:rFonts w:hint="eastAsia" w:cs="黑体" w:asciiTheme="minorEastAsia" w:hAnsiTheme="minorEastAsia"/>
          <w:color w:val="000000"/>
          <w:kern w:val="0"/>
          <w:sz w:val="32"/>
          <w:szCs w:val="32"/>
          <w:highlight w:val="none"/>
          <w:lang w:val="en-US" w:eastAsia="zh-CN"/>
        </w:rPr>
        <w:t>11</w:t>
      </w:r>
      <w:r>
        <w:rPr>
          <w:rFonts w:hint="eastAsia" w:cs="黑体" w:asciiTheme="minorEastAsia" w:hAnsiTheme="minorEastAsia"/>
          <w:color w:val="000000"/>
          <w:kern w:val="0"/>
          <w:sz w:val="32"/>
          <w:szCs w:val="32"/>
          <w:highlight w:val="none"/>
        </w:rPr>
        <w:t>个，共涉及资金</w:t>
      </w:r>
      <w:r>
        <w:rPr>
          <w:rFonts w:hint="eastAsia" w:cs="黑体" w:asciiTheme="minorEastAsia" w:hAnsiTheme="minorEastAsia"/>
          <w:color w:val="000000"/>
          <w:kern w:val="0"/>
          <w:sz w:val="32"/>
          <w:szCs w:val="32"/>
          <w:highlight w:val="none"/>
          <w:lang w:val="en-US" w:eastAsia="zh-CN"/>
        </w:rPr>
        <w:t>4889.85</w:t>
      </w:r>
      <w:r>
        <w:rPr>
          <w:rFonts w:hint="eastAsia" w:cs="黑体" w:asciiTheme="minorEastAsia" w:hAnsiTheme="minorEastAsia"/>
          <w:color w:val="000000"/>
          <w:kern w:val="0"/>
          <w:sz w:val="32"/>
          <w:szCs w:val="32"/>
          <w:highlight w:val="none"/>
        </w:rPr>
        <w:t>万元，占一般公共预算项目支出总额的</w:t>
      </w:r>
      <w:r>
        <w:rPr>
          <w:rFonts w:hint="eastAsia" w:cs="黑体" w:asciiTheme="minorEastAsia" w:hAnsiTheme="minorEastAsia"/>
          <w:color w:val="000000"/>
          <w:kern w:val="0"/>
          <w:sz w:val="32"/>
          <w:szCs w:val="32"/>
          <w:highlight w:val="none"/>
          <w:lang w:val="en-US" w:eastAsia="zh-CN"/>
        </w:rPr>
        <w:t>78.68</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both"/>
        <w:rPr>
          <w:rFonts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组织对“</w:t>
      </w:r>
      <w:r>
        <w:rPr>
          <w:rFonts w:hint="eastAsia" w:cs="黑体" w:asciiTheme="minorEastAsia" w:hAnsiTheme="minorEastAsia"/>
          <w:color w:val="000000"/>
          <w:kern w:val="0"/>
          <w:sz w:val="32"/>
          <w:szCs w:val="32"/>
          <w:highlight w:val="none"/>
          <w:lang w:eastAsia="zh-CN"/>
        </w:rPr>
        <w:t>查违拆违</w:t>
      </w:r>
      <w:r>
        <w:rPr>
          <w:rFonts w:hint="eastAsia"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lang w:eastAsia="zh-CN"/>
        </w:rPr>
        <w:t>乡村振兴</w:t>
      </w:r>
      <w:r>
        <w:rPr>
          <w:rFonts w:hint="eastAsia" w:cs="黑体" w:asciiTheme="minorEastAsia" w:hAnsiTheme="minorEastAsia"/>
          <w:color w:val="000000"/>
          <w:kern w:val="0"/>
          <w:sz w:val="32"/>
          <w:szCs w:val="32"/>
          <w:highlight w:val="none"/>
        </w:rPr>
        <w:t>”等</w:t>
      </w:r>
      <w:r>
        <w:rPr>
          <w:rFonts w:hint="eastAsia" w:cs="黑体" w:asciiTheme="minorEastAsia" w:hAnsiTheme="minorEastAsia"/>
          <w:color w:val="000000"/>
          <w:kern w:val="0"/>
          <w:sz w:val="32"/>
          <w:szCs w:val="32"/>
          <w:highlight w:val="none"/>
          <w:lang w:val="en-US" w:eastAsia="zh-CN"/>
        </w:rPr>
        <w:t>11</w:t>
      </w:r>
      <w:r>
        <w:rPr>
          <w:rFonts w:hint="eastAsia" w:cs="黑体" w:asciiTheme="minorEastAsia" w:hAnsiTheme="minorEastAsia"/>
          <w:color w:val="000000"/>
          <w:kern w:val="0"/>
          <w:sz w:val="32"/>
          <w:szCs w:val="32"/>
          <w:highlight w:val="none"/>
        </w:rPr>
        <w:t>个项目开展了部门评价，涉及一般公共预算支出</w:t>
      </w:r>
      <w:r>
        <w:rPr>
          <w:rFonts w:hint="eastAsia" w:cs="黑体" w:asciiTheme="minorEastAsia" w:hAnsiTheme="minorEastAsia"/>
          <w:color w:val="000000"/>
          <w:kern w:val="0"/>
          <w:sz w:val="32"/>
          <w:szCs w:val="32"/>
          <w:highlight w:val="none"/>
          <w:lang w:val="en-US" w:eastAsia="zh-CN"/>
        </w:rPr>
        <w:t>4889.85</w:t>
      </w:r>
      <w:r>
        <w:rPr>
          <w:rFonts w:hint="eastAsia" w:cs="黑体" w:asciiTheme="minorEastAsia" w:hAnsiTheme="minorEastAsia"/>
          <w:color w:val="000000"/>
          <w:kern w:val="0"/>
          <w:sz w:val="32"/>
          <w:szCs w:val="32"/>
          <w:highlight w:val="none"/>
        </w:rPr>
        <w:t>万元。从评价情况来看，</w:t>
      </w:r>
      <w:r>
        <w:rPr>
          <w:rFonts w:hint="eastAsia" w:cs="黑体" w:asciiTheme="minorEastAsia" w:hAnsiTheme="minorEastAsia"/>
          <w:color w:val="000000"/>
          <w:kern w:val="0"/>
          <w:sz w:val="32"/>
          <w:szCs w:val="32"/>
          <w:highlight w:val="none"/>
          <w:lang w:eastAsia="zh-CN"/>
        </w:rPr>
        <w:t>各项目均完成预期设定的绩效目标</w:t>
      </w:r>
      <w:r>
        <w:rPr>
          <w:rFonts w:hint="eastAsia" w:cs="黑体" w:asciiTheme="minorEastAsia" w:hAnsiTheme="minorEastAsia"/>
          <w:color w:val="000000"/>
          <w:kern w:val="0"/>
          <w:sz w:val="32"/>
          <w:szCs w:val="32"/>
          <w:highlight w:val="none"/>
        </w:rPr>
        <w:t>。</w:t>
      </w:r>
    </w:p>
    <w:p>
      <w:pPr>
        <w:autoSpaceDE w:val="0"/>
        <w:autoSpaceDN w:val="0"/>
        <w:adjustRightInd w:val="0"/>
        <w:ind w:firstLine="640" w:firstLineChars="200"/>
        <w:jc w:val="both"/>
        <w:rPr>
          <w:rFonts w:cs="黑体" w:asciiTheme="minorEastAsia" w:hAnsiTheme="minorEastAsia"/>
          <w:b/>
          <w:color w:val="000000"/>
          <w:kern w:val="0"/>
          <w:sz w:val="32"/>
          <w:szCs w:val="32"/>
          <w:highlight w:val="none"/>
        </w:rPr>
      </w:pPr>
      <w:r>
        <w:rPr>
          <w:rFonts w:hint="eastAsia" w:cs="黑体" w:asciiTheme="minorEastAsia" w:hAnsiTheme="minorEastAsia"/>
          <w:b/>
          <w:color w:val="000000"/>
          <w:kern w:val="0"/>
          <w:sz w:val="32"/>
          <w:szCs w:val="32"/>
          <w:highlight w:val="none"/>
        </w:rPr>
        <w:t>（2）部门决算中项目绩效自评结果。</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“查违拆违”</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94</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60</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60</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“村级运转经费”</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100</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353.8</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353.8</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“黑臭水体”</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95</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290</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99.49</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34.31</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“农村生活污水治理”</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95</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500</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243.46</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48.69</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“农村清洁工程”</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98</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240</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240</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100</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“农村人居环境整治”</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97</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300</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186.64</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62.21</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“农林水事务支出”</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97</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77</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76.96</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99.95</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“污水处理厂及基站运行维护”</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97</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85</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83.13</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97.8</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“乡村振兴”</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98</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3500</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2996.47</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85.61</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“镇区污水收集管网”</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95</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600</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299.9</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49.98</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keepNext w:val="0"/>
        <w:keepLines w:val="0"/>
        <w:pageBreakBefore w:val="0"/>
        <w:widowControl w:val="0"/>
        <w:kinsoku/>
        <w:wordWrap/>
        <w:overflowPunct/>
        <w:topLinePunct w:val="0"/>
        <w:autoSpaceDE w:val="0"/>
        <w:autoSpaceDN w:val="0"/>
        <w:bidi w:val="0"/>
        <w:adjustRightInd w:val="0"/>
        <w:snapToGrid/>
        <w:ind w:firstLine="640" w:firstLineChars="200"/>
        <w:jc w:val="both"/>
        <w:textAlignment w:val="auto"/>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lang w:eastAsia="zh-CN"/>
        </w:rPr>
        <w:t>“志溪河高新区堤防加固工程设计”</w:t>
      </w:r>
      <w:r>
        <w:rPr>
          <w:rFonts w:hint="eastAsia" w:cs="黑体" w:asciiTheme="minorEastAsia" w:hAnsiTheme="minorEastAsia"/>
          <w:color w:val="000000"/>
          <w:kern w:val="0"/>
          <w:sz w:val="32"/>
          <w:szCs w:val="32"/>
          <w:highlight w:val="none"/>
        </w:rPr>
        <w:t>项目绩效自评综述：根据年初设定的绩效目标，项目绩效自评得分为</w:t>
      </w:r>
      <w:r>
        <w:rPr>
          <w:rFonts w:hint="eastAsia" w:cs="黑体" w:asciiTheme="minorEastAsia" w:hAnsiTheme="minorEastAsia"/>
          <w:color w:val="000000"/>
          <w:kern w:val="0"/>
          <w:sz w:val="32"/>
          <w:szCs w:val="32"/>
          <w:highlight w:val="none"/>
          <w:lang w:val="en-US" w:eastAsia="zh-CN"/>
        </w:rPr>
        <w:t>97</w:t>
      </w:r>
      <w:r>
        <w:rPr>
          <w:rFonts w:hint="eastAsia" w:cs="黑体" w:asciiTheme="minorEastAsia" w:hAnsiTheme="minorEastAsia"/>
          <w:color w:val="000000"/>
          <w:kern w:val="0"/>
          <w:sz w:val="32"/>
          <w:szCs w:val="32"/>
          <w:highlight w:val="none"/>
        </w:rPr>
        <w:t>分。项目全年预算数为</w:t>
      </w:r>
      <w:r>
        <w:rPr>
          <w:rFonts w:hint="eastAsia" w:cs="黑体" w:asciiTheme="minorEastAsia" w:hAnsiTheme="minorEastAsia"/>
          <w:color w:val="000000"/>
          <w:kern w:val="0"/>
          <w:sz w:val="32"/>
          <w:szCs w:val="32"/>
          <w:highlight w:val="none"/>
          <w:lang w:val="en-US" w:eastAsia="zh-CN"/>
        </w:rPr>
        <w:t>1000</w:t>
      </w:r>
      <w:r>
        <w:rPr>
          <w:rFonts w:hint="eastAsia" w:cs="黑体" w:asciiTheme="minorEastAsia" w:hAnsiTheme="minorEastAsia"/>
          <w:color w:val="000000"/>
          <w:kern w:val="0"/>
          <w:sz w:val="32"/>
          <w:szCs w:val="32"/>
          <w:highlight w:val="none"/>
        </w:rPr>
        <w:t>万元，执行数为</w:t>
      </w:r>
      <w:r>
        <w:rPr>
          <w:rFonts w:hint="eastAsia" w:cs="黑体" w:asciiTheme="minorEastAsia" w:hAnsiTheme="minorEastAsia"/>
          <w:color w:val="000000"/>
          <w:kern w:val="0"/>
          <w:sz w:val="32"/>
          <w:szCs w:val="32"/>
          <w:highlight w:val="none"/>
          <w:lang w:val="en-US" w:eastAsia="zh-CN"/>
        </w:rPr>
        <w:t>250</w:t>
      </w:r>
      <w:r>
        <w:rPr>
          <w:rFonts w:hint="eastAsia" w:cs="黑体" w:asciiTheme="minorEastAsia" w:hAnsiTheme="minorEastAsia"/>
          <w:color w:val="000000"/>
          <w:kern w:val="0"/>
          <w:sz w:val="32"/>
          <w:szCs w:val="32"/>
          <w:highlight w:val="none"/>
        </w:rPr>
        <w:t>万元，完成预算的</w:t>
      </w:r>
      <w:r>
        <w:rPr>
          <w:rFonts w:hint="eastAsia" w:cs="黑体" w:asciiTheme="minorEastAsia" w:hAnsiTheme="minorEastAsia"/>
          <w:color w:val="000000"/>
          <w:kern w:val="0"/>
          <w:sz w:val="32"/>
          <w:szCs w:val="32"/>
          <w:highlight w:val="none"/>
          <w:lang w:val="en-US" w:eastAsia="zh-CN"/>
        </w:rPr>
        <w:t>25</w:t>
      </w:r>
      <w:r>
        <w:rPr>
          <w:rFonts w:cs="黑体" w:asciiTheme="minorEastAsia" w:hAnsiTheme="minorEastAsia"/>
          <w:color w:val="000000"/>
          <w:kern w:val="0"/>
          <w:sz w:val="32"/>
          <w:szCs w:val="32"/>
          <w:highlight w:val="none"/>
        </w:rPr>
        <w:t>%</w:t>
      </w:r>
      <w:r>
        <w:rPr>
          <w:rFonts w:hint="eastAsia" w:cs="黑体" w:asciiTheme="minorEastAsia" w:hAnsiTheme="minorEastAsia"/>
          <w:color w:val="000000"/>
          <w:kern w:val="0"/>
          <w:sz w:val="32"/>
          <w:szCs w:val="32"/>
          <w:highlight w:val="none"/>
        </w:rPr>
        <w:t>。</w:t>
      </w:r>
    </w:p>
    <w:p>
      <w:pPr>
        <w:pStyle w:val="2"/>
        <w:rPr>
          <w:rFonts w:hint="eastAsia"/>
          <w:highlight w:val="none"/>
        </w:rPr>
      </w:pPr>
    </w:p>
    <w:p>
      <w:pPr>
        <w:pStyle w:val="2"/>
        <w:rPr>
          <w:rFonts w:hint="eastAsia"/>
          <w:highlight w:val="none"/>
        </w:rPr>
      </w:pPr>
    </w:p>
    <w:p>
      <w:pPr>
        <w:autoSpaceDE w:val="0"/>
        <w:autoSpaceDN w:val="0"/>
        <w:adjustRightInd w:val="0"/>
        <w:ind w:firstLine="640" w:firstLineChars="200"/>
        <w:jc w:val="both"/>
        <w:rPr>
          <w:rFonts w:cs="黑体" w:asciiTheme="minorEastAsia" w:hAnsiTheme="minorEastAsia"/>
          <w:color w:val="000000"/>
          <w:kern w:val="0"/>
          <w:sz w:val="32"/>
          <w:szCs w:val="32"/>
          <w:highlight w:val="none"/>
        </w:rPr>
      </w:pPr>
      <w:r>
        <w:rPr>
          <w:rFonts w:hint="eastAsia" w:cs="黑体" w:asciiTheme="minorEastAsia" w:hAnsiTheme="minorEastAsia"/>
          <w:b/>
          <w:color w:val="000000"/>
          <w:kern w:val="0"/>
          <w:sz w:val="32"/>
          <w:szCs w:val="32"/>
          <w:highlight w:val="none"/>
        </w:rPr>
        <w:t>（</w:t>
      </w:r>
      <w:r>
        <w:rPr>
          <w:rFonts w:cs="黑体" w:asciiTheme="minorEastAsia" w:hAnsiTheme="minorEastAsia"/>
          <w:b/>
          <w:color w:val="000000"/>
          <w:kern w:val="0"/>
          <w:sz w:val="32"/>
          <w:szCs w:val="32"/>
          <w:highlight w:val="none"/>
        </w:rPr>
        <w:t>3</w:t>
      </w:r>
      <w:r>
        <w:rPr>
          <w:rFonts w:hint="eastAsia" w:cs="黑体" w:asciiTheme="minorEastAsia" w:hAnsiTheme="minorEastAsia"/>
          <w:b/>
          <w:color w:val="000000"/>
          <w:kern w:val="0"/>
          <w:sz w:val="32"/>
          <w:szCs w:val="32"/>
          <w:highlight w:val="none"/>
        </w:rPr>
        <w:t>）部门评价项目绩效评价结果。</w:t>
      </w:r>
    </w:p>
    <w:p>
      <w:pPr>
        <w:autoSpaceDE w:val="0"/>
        <w:autoSpaceDN w:val="0"/>
        <w:adjustRightInd w:val="0"/>
        <w:ind w:firstLine="640" w:firstLineChars="200"/>
        <w:jc w:val="both"/>
        <w:rPr>
          <w:rFonts w:hint="eastAsia" w:cs="黑体" w:asciiTheme="minorEastAsia" w:hAnsiTheme="minorEastAsia" w:eastAsiaTheme="minorEastAsia"/>
          <w:color w:val="000000"/>
          <w:kern w:val="0"/>
          <w:sz w:val="32"/>
          <w:szCs w:val="32"/>
          <w:highlight w:val="none"/>
          <w:lang w:eastAsia="zh-CN"/>
        </w:rPr>
      </w:pPr>
      <w:r>
        <w:rPr>
          <w:rFonts w:hint="eastAsia" w:cs="黑体" w:asciiTheme="minorEastAsia" w:hAnsiTheme="minorEastAsia"/>
          <w:color w:val="000000"/>
          <w:kern w:val="0"/>
          <w:sz w:val="32"/>
          <w:szCs w:val="32"/>
          <w:highlight w:val="none"/>
        </w:rPr>
        <w:t>部门评价</w:t>
      </w:r>
      <w:r>
        <w:rPr>
          <w:rFonts w:hint="eastAsia" w:cs="黑体" w:asciiTheme="minorEastAsia" w:hAnsiTheme="minorEastAsia"/>
          <w:color w:val="000000"/>
          <w:kern w:val="0"/>
          <w:sz w:val="32"/>
          <w:szCs w:val="32"/>
          <w:highlight w:val="none"/>
          <w:lang w:eastAsia="zh-CN"/>
        </w:rPr>
        <w:t>项目绩效评价结果均为良好。</w:t>
      </w:r>
    </w:p>
    <w:p>
      <w:pPr>
        <w:pStyle w:val="10"/>
        <w:jc w:val="both"/>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rPr>
          <w:sz w:val="72"/>
          <w:szCs w:val="72"/>
          <w:highlight w:val="none"/>
        </w:rPr>
      </w:pPr>
    </w:p>
    <w:p>
      <w:pPr>
        <w:pStyle w:val="10"/>
        <w:rPr>
          <w:sz w:val="72"/>
          <w:szCs w:val="72"/>
          <w:highlight w:val="none"/>
        </w:rPr>
      </w:pPr>
    </w:p>
    <w:p>
      <w:pPr>
        <w:pStyle w:val="10"/>
        <w:jc w:val="center"/>
        <w:rPr>
          <w:sz w:val="72"/>
          <w:szCs w:val="72"/>
          <w:highlight w:val="none"/>
        </w:rPr>
      </w:pPr>
    </w:p>
    <w:p>
      <w:pPr>
        <w:pStyle w:val="10"/>
        <w:jc w:val="center"/>
        <w:rPr>
          <w:sz w:val="72"/>
          <w:szCs w:val="72"/>
          <w:highlight w:val="none"/>
        </w:rPr>
      </w:pPr>
    </w:p>
    <w:p>
      <w:pPr>
        <w:rPr>
          <w:sz w:val="72"/>
          <w:szCs w:val="72"/>
          <w:highlight w:val="none"/>
        </w:rPr>
      </w:pPr>
      <w:r>
        <w:rPr>
          <w:sz w:val="72"/>
          <w:szCs w:val="72"/>
          <w:highlight w:val="none"/>
        </w:rPr>
        <w:br w:type="page"/>
      </w:r>
    </w:p>
    <w:p>
      <w:pPr>
        <w:pStyle w:val="10"/>
        <w:jc w:val="center"/>
        <w:rPr>
          <w:sz w:val="72"/>
          <w:szCs w:val="72"/>
          <w:highlight w:val="none"/>
        </w:rPr>
      </w:pPr>
    </w:p>
    <w:p>
      <w:pPr>
        <w:pStyle w:val="10"/>
        <w:jc w:val="center"/>
        <w:rPr>
          <w:sz w:val="72"/>
          <w:szCs w:val="72"/>
          <w:highlight w:val="none"/>
        </w:rPr>
      </w:pPr>
      <w:r>
        <w:rPr>
          <w:rFonts w:hint="eastAsia"/>
          <w:sz w:val="72"/>
          <w:szCs w:val="72"/>
          <w:highlight w:val="none"/>
        </w:rPr>
        <w:t>第四部分</w:t>
      </w:r>
    </w:p>
    <w:p>
      <w:pPr>
        <w:jc w:val="center"/>
        <w:rPr>
          <w:rFonts w:ascii="黑体" w:eastAsia="黑体" w:cs="黑体"/>
          <w:color w:val="000000"/>
          <w:kern w:val="0"/>
          <w:sz w:val="70"/>
          <w:szCs w:val="70"/>
          <w:highlight w:val="none"/>
        </w:rPr>
      </w:pPr>
    </w:p>
    <w:p>
      <w:pPr>
        <w:jc w:val="center"/>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名词解释</w:t>
      </w:r>
    </w:p>
    <w:p>
      <w:pPr>
        <w:widowControl/>
        <w:jc w:val="left"/>
        <w:rPr>
          <w:rFonts w:ascii="黑体" w:eastAsia="黑体" w:cs="黑体"/>
          <w:color w:val="000000"/>
          <w:kern w:val="0"/>
          <w:sz w:val="70"/>
          <w:szCs w:val="70"/>
          <w:highlight w:val="none"/>
        </w:rPr>
      </w:pPr>
      <w:r>
        <w:rPr>
          <w:rFonts w:ascii="黑体" w:eastAsia="黑体" w:cs="黑体"/>
          <w:color w:val="000000"/>
          <w:kern w:val="0"/>
          <w:sz w:val="70"/>
          <w:szCs w:val="70"/>
          <w:highlight w:val="none"/>
        </w:rPr>
        <w:br w:type="page"/>
      </w:r>
    </w:p>
    <w:p>
      <w:pPr>
        <w:widowControl/>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 xml:space="preserve">一、财政拨款收入：指本级财政当年拨付的资金。 </w:t>
      </w:r>
    </w:p>
    <w:p>
      <w:pPr>
        <w:widowControl/>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二、其他收入：指除“财政拨款收入”、“事业收入”、“经营收入”等以外的收入。主要是本级横向拨款、非本级拨款、利息收入等。</w:t>
      </w:r>
    </w:p>
    <w:p>
      <w:pPr>
        <w:widowControl/>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 xml:space="preserve">三、年初结转和结余：指以前年度尚未完成、结转到本年按有关规定继续使用的资金。 </w:t>
      </w:r>
    </w:p>
    <w:p>
      <w:pPr>
        <w:widowControl/>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 xml:space="preserve">四、年末结转和结余：指本年度或以前年度预算安排、因客观条件发生变化无法按原计划实施，需要延迟到以后年度按有关规定继续使用的资金。 </w:t>
      </w:r>
    </w:p>
    <w:p>
      <w:pPr>
        <w:widowControl/>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 xml:space="preserve">五、基本支出：指为保障机构正常运转、完成日常工作任务而发生的人员支出和公用支出。 </w:t>
      </w:r>
    </w:p>
    <w:p>
      <w:pPr>
        <w:widowControl/>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 xml:space="preserve">六、项目支出：指在基本支出之外为完成特定行政任务和事业发展目标所发生的支出。 </w:t>
      </w:r>
    </w:p>
    <w:p>
      <w:pPr>
        <w:widowControl/>
        <w:jc w:val="left"/>
        <w:rPr>
          <w:rFonts w:hint="eastAsia" w:cs="黑体" w:asciiTheme="minorEastAsia" w:hAnsiTheme="minorEastAsia"/>
          <w:color w:val="000000"/>
          <w:kern w:val="0"/>
          <w:sz w:val="32"/>
          <w:szCs w:val="32"/>
          <w:highlight w:val="none"/>
        </w:rPr>
      </w:pPr>
      <w:r>
        <w:rPr>
          <w:rFonts w:hint="eastAsia" w:cs="黑体" w:asciiTheme="minorEastAsia" w:hAnsiTheme="minorEastAsia"/>
          <w:color w:val="000000"/>
          <w:kern w:val="0"/>
          <w:sz w:val="32"/>
          <w:szCs w:val="32"/>
          <w:highlight w:val="none"/>
        </w:rPr>
        <w:t xml:space="preserve">七、“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widowControl/>
        <w:jc w:val="left"/>
        <w:rPr>
          <w:rFonts w:eastAsia="黑体" w:cs="黑体" w:asciiTheme="minorEastAsia" w:hAnsiTheme="minorEastAsia"/>
          <w:color w:val="000000"/>
          <w:kern w:val="0"/>
          <w:sz w:val="28"/>
          <w:szCs w:val="32"/>
          <w:highlight w:val="none"/>
        </w:rPr>
      </w:pPr>
      <w:r>
        <w:rPr>
          <w:rFonts w:hint="eastAsia" w:cs="黑体" w:asciiTheme="minorEastAsia" w:hAnsiTheme="minorEastAsia"/>
          <w:color w:val="000000"/>
          <w:kern w:val="0"/>
          <w:sz w:val="32"/>
          <w:szCs w:val="32"/>
          <w:highlight w:val="none"/>
        </w:rPr>
        <w:t>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r>
        <w:rPr>
          <w:rFonts w:hint="eastAsia" w:asciiTheme="minorEastAsia" w:hAnsiTheme="minorEastAsia"/>
          <w:sz w:val="28"/>
          <w:szCs w:val="32"/>
          <w:highlight w:val="none"/>
        </w:rPr>
        <w:t>（名词解释应包含本部门专有名词，如省财政厅应有对“财政事务”科目的解释）</w:t>
      </w:r>
    </w:p>
    <w:p>
      <w:pPr>
        <w:pStyle w:val="10"/>
        <w:jc w:val="center"/>
        <w:rPr>
          <w:sz w:val="72"/>
          <w:szCs w:val="72"/>
          <w:highlight w:val="none"/>
        </w:rPr>
      </w:pPr>
    </w:p>
    <w:p>
      <w:pPr>
        <w:pStyle w:val="10"/>
        <w:jc w:val="both"/>
        <w:rPr>
          <w:sz w:val="72"/>
          <w:szCs w:val="72"/>
          <w:highlight w:val="none"/>
        </w:rPr>
      </w:pPr>
    </w:p>
    <w:p>
      <w:pPr>
        <w:pStyle w:val="10"/>
        <w:jc w:val="center"/>
        <w:rPr>
          <w:sz w:val="72"/>
          <w:szCs w:val="72"/>
          <w:highlight w:val="none"/>
        </w:rPr>
      </w:pPr>
    </w:p>
    <w:p>
      <w:pPr>
        <w:pStyle w:val="10"/>
        <w:jc w:val="center"/>
        <w:rPr>
          <w:sz w:val="72"/>
          <w:szCs w:val="72"/>
          <w:highlight w:val="none"/>
        </w:rPr>
      </w:pPr>
    </w:p>
    <w:p>
      <w:pPr>
        <w:pStyle w:val="10"/>
        <w:jc w:val="center"/>
        <w:rPr>
          <w:sz w:val="72"/>
          <w:szCs w:val="72"/>
          <w:highlight w:val="none"/>
        </w:rPr>
      </w:pPr>
      <w:r>
        <w:rPr>
          <w:rFonts w:hint="eastAsia"/>
          <w:sz w:val="72"/>
          <w:szCs w:val="72"/>
          <w:highlight w:val="none"/>
        </w:rPr>
        <w:t>第五部分</w:t>
      </w:r>
    </w:p>
    <w:p>
      <w:pPr>
        <w:jc w:val="center"/>
        <w:rPr>
          <w:rFonts w:ascii="黑体" w:eastAsia="黑体" w:cs="黑体"/>
          <w:color w:val="000000"/>
          <w:kern w:val="0"/>
          <w:sz w:val="70"/>
          <w:szCs w:val="70"/>
          <w:highlight w:val="none"/>
        </w:rPr>
      </w:pPr>
    </w:p>
    <w:p>
      <w:pPr>
        <w:jc w:val="center"/>
        <w:rPr>
          <w:rFonts w:ascii="黑体" w:eastAsia="黑体" w:cs="黑体"/>
          <w:color w:val="000000"/>
          <w:kern w:val="0"/>
          <w:sz w:val="70"/>
          <w:szCs w:val="70"/>
          <w:highlight w:val="none"/>
        </w:rPr>
      </w:pPr>
      <w:r>
        <w:rPr>
          <w:rFonts w:hint="eastAsia" w:ascii="黑体" w:eastAsia="黑体" w:cs="黑体"/>
          <w:color w:val="000000"/>
          <w:kern w:val="0"/>
          <w:sz w:val="70"/>
          <w:szCs w:val="70"/>
          <w:highlight w:val="none"/>
        </w:rPr>
        <w:t>附件</w:t>
      </w:r>
    </w:p>
    <w:p>
      <w:pPr>
        <w:widowControl/>
        <w:jc w:val="left"/>
        <w:rPr>
          <w:rFonts w:ascii="黑体" w:eastAsia="黑体" w:cs="黑体"/>
          <w:color w:val="000000"/>
          <w:kern w:val="0"/>
          <w:sz w:val="70"/>
          <w:szCs w:val="70"/>
          <w:highlight w:val="none"/>
        </w:rPr>
      </w:pPr>
      <w:r>
        <w:rPr>
          <w:rFonts w:ascii="黑体" w:eastAsia="黑体" w:cs="黑体"/>
          <w:color w:val="000000"/>
          <w:kern w:val="0"/>
          <w:sz w:val="70"/>
          <w:szCs w:val="70"/>
          <w:highlight w:val="none"/>
        </w:rPr>
        <w:br w:type="page"/>
      </w:r>
    </w:p>
    <w:p>
      <w:pPr>
        <w:jc w:val="center"/>
        <w:rPr>
          <w:rFonts w:ascii="黑体" w:eastAsia="黑体" w:cs="黑体"/>
          <w:color w:val="000000"/>
          <w:kern w:val="0"/>
          <w:sz w:val="70"/>
          <w:szCs w:val="70"/>
          <w:highlight w:val="none"/>
        </w:rPr>
      </w:pPr>
    </w:p>
    <w:p>
      <w:pPr>
        <w:spacing w:line="560" w:lineRule="exact"/>
        <w:jc w:val="center"/>
        <w:rPr>
          <w:rFonts w:hint="eastAsia" w:ascii="方正小标宋简体" w:hAnsi="方正小标宋简体" w:eastAsia="方正小标宋简体" w:cs="方正小标宋简体"/>
          <w:bCs/>
          <w:sz w:val="40"/>
          <w:szCs w:val="40"/>
          <w:highlight w:val="none"/>
          <w:lang w:eastAsia="zh-CN"/>
        </w:rPr>
      </w:pPr>
      <w:r>
        <w:rPr>
          <w:rFonts w:hint="eastAsia" w:ascii="方正小标宋简体" w:hAnsi="方正小标宋简体" w:eastAsia="方正小标宋简体" w:cs="方正小标宋简体"/>
          <w:bCs/>
          <w:sz w:val="40"/>
          <w:szCs w:val="40"/>
          <w:highlight w:val="none"/>
          <w:lang w:eastAsia="zh-CN"/>
        </w:rPr>
        <w:t>谢林港镇</w:t>
      </w:r>
      <w:r>
        <w:rPr>
          <w:rFonts w:hint="eastAsia" w:ascii="方正小标宋简体" w:hAnsi="方正小标宋简体" w:eastAsia="方正小标宋简体" w:cs="方正小标宋简体"/>
          <w:bCs/>
          <w:sz w:val="40"/>
          <w:szCs w:val="40"/>
          <w:highlight w:val="none"/>
          <w:lang w:val="en-US" w:eastAsia="zh-CN"/>
        </w:rPr>
        <w:t>2021年</w:t>
      </w:r>
      <w:r>
        <w:rPr>
          <w:rFonts w:hint="eastAsia" w:ascii="方正小标宋简体" w:hAnsi="方正小标宋简体" w:eastAsia="方正小标宋简体" w:cs="方正小标宋简体"/>
          <w:bCs/>
          <w:sz w:val="40"/>
          <w:szCs w:val="40"/>
          <w:highlight w:val="none"/>
        </w:rPr>
        <w:t>部门整体支出绩效评价报告</w:t>
      </w:r>
    </w:p>
    <w:p>
      <w:pPr>
        <w:spacing w:line="560" w:lineRule="exact"/>
        <w:ind w:firstLine="640" w:firstLineChars="200"/>
        <w:rPr>
          <w:rFonts w:hint="eastAsia" w:ascii="黑体" w:hAnsi="黑体" w:eastAsia="黑体" w:cs="黑体"/>
          <w:sz w:val="32"/>
          <w:szCs w:val="32"/>
          <w:highlight w:val="none"/>
        </w:rPr>
      </w:pP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一、基本情况</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（一）部门整体支出概况</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w:t>
      </w:r>
      <w:r>
        <w:rPr>
          <w:rFonts w:hint="eastAsia" w:ascii="仿宋" w:hAnsi="仿宋" w:eastAsia="仿宋"/>
          <w:sz w:val="32"/>
          <w:szCs w:val="32"/>
          <w:highlight w:val="none"/>
          <w:lang w:val="en-US" w:eastAsia="zh-CN"/>
        </w:rPr>
        <w:t>1</w:t>
      </w:r>
      <w:r>
        <w:rPr>
          <w:rFonts w:hint="eastAsia" w:ascii="仿宋" w:hAnsi="仿宋" w:eastAsia="仿宋"/>
          <w:sz w:val="32"/>
          <w:szCs w:val="32"/>
          <w:highlight w:val="none"/>
        </w:rPr>
        <w:t>年本单位决算收入</w:t>
      </w:r>
      <w:r>
        <w:rPr>
          <w:rFonts w:hint="eastAsia" w:ascii="仿宋" w:hAnsi="仿宋" w:eastAsia="仿宋"/>
          <w:sz w:val="32"/>
          <w:szCs w:val="32"/>
          <w:highlight w:val="none"/>
          <w:lang w:val="en-US" w:eastAsia="zh-CN"/>
        </w:rPr>
        <w:t>10185.86万元，</w:t>
      </w:r>
      <w:r>
        <w:rPr>
          <w:rFonts w:hint="eastAsia" w:ascii="仿宋" w:hAnsi="仿宋" w:eastAsia="仿宋"/>
          <w:sz w:val="32"/>
          <w:szCs w:val="32"/>
          <w:highlight w:val="none"/>
        </w:rPr>
        <w:t>其中</w:t>
      </w:r>
      <w:r>
        <w:rPr>
          <w:rFonts w:hint="eastAsia" w:ascii="仿宋" w:hAnsi="仿宋" w:eastAsia="仿宋"/>
          <w:sz w:val="32"/>
          <w:szCs w:val="32"/>
          <w:highlight w:val="none"/>
          <w:lang w:eastAsia="zh-CN"/>
        </w:rPr>
        <w:t>：</w:t>
      </w:r>
      <w:r>
        <w:rPr>
          <w:rFonts w:hint="eastAsia" w:ascii="仿宋" w:hAnsi="仿宋" w:eastAsia="仿宋"/>
          <w:sz w:val="32"/>
          <w:szCs w:val="32"/>
          <w:highlight w:val="none"/>
        </w:rPr>
        <w:t>一般公共预算财政拨款收入</w:t>
      </w:r>
      <w:r>
        <w:rPr>
          <w:rFonts w:hint="eastAsia" w:ascii="仿宋" w:hAnsi="仿宋" w:eastAsia="仿宋"/>
          <w:sz w:val="32"/>
          <w:szCs w:val="32"/>
          <w:highlight w:val="none"/>
          <w:lang w:val="en-US" w:eastAsia="zh-CN"/>
        </w:rPr>
        <w:t>8507.03</w:t>
      </w:r>
      <w:r>
        <w:rPr>
          <w:rFonts w:hint="eastAsia" w:ascii="仿宋" w:hAnsi="仿宋" w:eastAsia="仿宋"/>
          <w:sz w:val="32"/>
          <w:szCs w:val="32"/>
          <w:highlight w:val="none"/>
        </w:rPr>
        <w:t>万元，政府性基金收入</w:t>
      </w:r>
      <w:r>
        <w:rPr>
          <w:rFonts w:hint="eastAsia" w:ascii="仿宋" w:hAnsi="仿宋" w:eastAsia="仿宋" w:cs="Times New Roman"/>
          <w:sz w:val="32"/>
          <w:szCs w:val="32"/>
          <w:highlight w:val="none"/>
          <w:lang w:val="en-US" w:eastAsia="zh-CN"/>
        </w:rPr>
        <w:t>1307.04</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，其他收入</w:t>
      </w:r>
      <w:r>
        <w:rPr>
          <w:rFonts w:hint="eastAsia" w:ascii="仿宋" w:hAnsi="仿宋" w:eastAsia="仿宋"/>
          <w:sz w:val="32"/>
          <w:szCs w:val="32"/>
          <w:highlight w:val="none"/>
          <w:lang w:val="en-US" w:eastAsia="zh-CN"/>
        </w:rPr>
        <w:t>371.79万元</w:t>
      </w:r>
      <w:r>
        <w:rPr>
          <w:rFonts w:hint="eastAsia" w:ascii="仿宋" w:hAnsi="仿宋" w:eastAsia="仿宋"/>
          <w:sz w:val="32"/>
          <w:szCs w:val="32"/>
          <w:highlight w:val="none"/>
        </w:rPr>
        <w:t>。</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2020年本单位决算支出</w:t>
      </w:r>
      <w:r>
        <w:rPr>
          <w:rFonts w:hint="eastAsia" w:ascii="仿宋" w:hAnsi="仿宋" w:eastAsia="仿宋"/>
          <w:sz w:val="32"/>
          <w:szCs w:val="32"/>
          <w:highlight w:val="none"/>
          <w:lang w:val="en-US" w:eastAsia="zh-CN"/>
        </w:rPr>
        <w:t>10185.86</w:t>
      </w:r>
      <w:r>
        <w:rPr>
          <w:rFonts w:hint="eastAsia" w:ascii="仿宋" w:hAnsi="仿宋" w:eastAsia="仿宋"/>
          <w:sz w:val="32"/>
          <w:szCs w:val="32"/>
          <w:highlight w:val="none"/>
        </w:rPr>
        <w:t>万元，一般公共服务支出</w:t>
      </w:r>
      <w:r>
        <w:rPr>
          <w:rFonts w:hint="eastAsia" w:ascii="仿宋" w:hAnsi="仿宋" w:eastAsia="仿宋"/>
          <w:sz w:val="32"/>
          <w:szCs w:val="32"/>
          <w:highlight w:val="none"/>
          <w:lang w:val="en-US" w:eastAsia="zh-CN"/>
        </w:rPr>
        <w:t>1995.92</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，公共安全支出</w:t>
      </w:r>
      <w:r>
        <w:rPr>
          <w:rFonts w:hint="eastAsia" w:ascii="仿宋" w:hAnsi="仿宋" w:eastAsia="仿宋"/>
          <w:sz w:val="32"/>
          <w:szCs w:val="32"/>
          <w:highlight w:val="none"/>
          <w:lang w:val="en-US" w:eastAsia="zh-CN"/>
        </w:rPr>
        <w:t>18.84万元，教育支出5万元，文化旅游体育与传媒支出9.23万元，社会保障和就业支出388.19万元，卫生健康支出190.36万元，</w:t>
      </w:r>
      <w:r>
        <w:rPr>
          <w:rFonts w:hint="eastAsia" w:ascii="仿宋" w:hAnsi="仿宋" w:eastAsia="仿宋"/>
          <w:sz w:val="32"/>
          <w:szCs w:val="32"/>
          <w:highlight w:val="none"/>
        </w:rPr>
        <w:t>节能环保支出</w:t>
      </w:r>
      <w:r>
        <w:rPr>
          <w:rFonts w:hint="eastAsia" w:ascii="仿宋" w:hAnsi="仿宋" w:eastAsia="仿宋"/>
          <w:sz w:val="32"/>
          <w:szCs w:val="32"/>
          <w:highlight w:val="none"/>
          <w:lang w:val="en-US" w:eastAsia="zh-CN"/>
        </w:rPr>
        <w:t>1107.7</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，城乡社区支出</w:t>
      </w:r>
      <w:r>
        <w:rPr>
          <w:rFonts w:hint="eastAsia" w:ascii="仿宋" w:hAnsi="仿宋" w:eastAsia="仿宋"/>
          <w:sz w:val="32"/>
          <w:szCs w:val="32"/>
          <w:highlight w:val="none"/>
          <w:lang w:val="en-US" w:eastAsia="zh-CN"/>
        </w:rPr>
        <w:t>1662.21万元，农林水支出4530.36万元，自然资源海洋气象等支出35万元，住房保障支出</w:t>
      </w:r>
      <w:r>
        <w:rPr>
          <w:rFonts w:hint="eastAsia" w:ascii="仿宋" w:hAnsi="仿宋" w:eastAsia="仿宋" w:cs="Times New Roman"/>
          <w:sz w:val="32"/>
          <w:szCs w:val="32"/>
          <w:highlight w:val="none"/>
          <w:lang w:val="en-US" w:eastAsia="zh-CN"/>
        </w:rPr>
        <w:t>128.24万元，灾害防治及应急管理支出39.94万元，其他支出69.87万元，抗</w:t>
      </w:r>
      <w:r>
        <w:rPr>
          <w:rFonts w:hint="eastAsia" w:ascii="仿宋" w:hAnsi="仿宋" w:eastAsia="仿宋"/>
          <w:sz w:val="32"/>
          <w:szCs w:val="32"/>
          <w:highlight w:val="none"/>
          <w:lang w:val="en-US" w:eastAsia="zh-CN"/>
        </w:rPr>
        <w:t>疫特别国债安排的支出5万元。收支达到平衡，无年终结转结余。</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（二）部门整体支出绩效目标</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eastAsia="仿宋_GB2312"/>
          <w:b/>
          <w:bCs/>
          <w:sz w:val="32"/>
          <w:szCs w:val="32"/>
          <w:highlight w:val="none"/>
        </w:rPr>
      </w:pPr>
      <w:r>
        <w:rPr>
          <w:rFonts w:hint="eastAsia" w:eastAsia="仿宋_GB2312"/>
          <w:b/>
          <w:bCs/>
          <w:sz w:val="32"/>
          <w:szCs w:val="32"/>
          <w:highlight w:val="none"/>
        </w:rPr>
        <w:t>预决算公开：</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eastAsia="仿宋_GB2312"/>
          <w:sz w:val="32"/>
          <w:szCs w:val="32"/>
          <w:highlight w:val="none"/>
        </w:rPr>
      </w:pPr>
      <w:r>
        <w:rPr>
          <w:rFonts w:hint="eastAsia" w:eastAsia="仿宋_GB2312"/>
          <w:sz w:val="32"/>
          <w:szCs w:val="32"/>
          <w:highlight w:val="none"/>
          <w:lang w:eastAsia="zh-CN"/>
        </w:rPr>
        <w:t>20</w:t>
      </w:r>
      <w:r>
        <w:rPr>
          <w:rFonts w:hint="eastAsia" w:eastAsia="仿宋_GB2312"/>
          <w:sz w:val="32"/>
          <w:szCs w:val="32"/>
          <w:highlight w:val="none"/>
          <w:lang w:val="en-US" w:eastAsia="zh-CN"/>
        </w:rPr>
        <w:t>21</w:t>
      </w:r>
      <w:r>
        <w:rPr>
          <w:rFonts w:hint="eastAsia" w:eastAsia="仿宋_GB2312"/>
          <w:sz w:val="32"/>
          <w:szCs w:val="32"/>
          <w:highlight w:val="none"/>
        </w:rPr>
        <w:t>年，按照上级的要求，在区</w:t>
      </w:r>
      <w:r>
        <w:rPr>
          <w:rFonts w:hint="eastAsia" w:eastAsia="仿宋_GB2312"/>
          <w:sz w:val="32"/>
          <w:szCs w:val="32"/>
          <w:highlight w:val="none"/>
          <w:lang w:eastAsia="zh-CN"/>
        </w:rPr>
        <w:t>财政局</w:t>
      </w:r>
      <w:r>
        <w:rPr>
          <w:rFonts w:hint="eastAsia" w:eastAsia="仿宋_GB2312"/>
          <w:sz w:val="32"/>
          <w:szCs w:val="32"/>
          <w:highlight w:val="none"/>
        </w:rPr>
        <w:t>的网站上进行了预</w:t>
      </w:r>
      <w:r>
        <w:rPr>
          <w:rFonts w:hint="eastAsia" w:eastAsia="仿宋_GB2312"/>
          <w:sz w:val="32"/>
          <w:szCs w:val="32"/>
          <w:highlight w:val="none"/>
          <w:lang w:eastAsia="zh-CN"/>
        </w:rPr>
        <w:t>、</w:t>
      </w:r>
      <w:r>
        <w:rPr>
          <w:rFonts w:hint="eastAsia" w:eastAsia="仿宋_GB2312"/>
          <w:sz w:val="32"/>
          <w:szCs w:val="32"/>
          <w:highlight w:val="none"/>
        </w:rPr>
        <w:t>决算</w:t>
      </w:r>
      <w:r>
        <w:rPr>
          <w:rFonts w:hint="eastAsia" w:eastAsia="仿宋_GB2312"/>
          <w:sz w:val="32"/>
          <w:szCs w:val="32"/>
          <w:highlight w:val="none"/>
          <w:lang w:eastAsia="zh-CN"/>
        </w:rPr>
        <w:t>公示</w:t>
      </w:r>
      <w:r>
        <w:rPr>
          <w:rFonts w:hint="eastAsia" w:eastAsia="仿宋_GB2312"/>
          <w:sz w:val="32"/>
          <w:szCs w:val="32"/>
          <w:highlight w:val="none"/>
        </w:rPr>
        <w:t>公开。</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eastAsia="仿宋_GB2312"/>
          <w:sz w:val="32"/>
          <w:szCs w:val="32"/>
          <w:highlight w:val="none"/>
        </w:rPr>
      </w:pPr>
      <w:r>
        <w:rPr>
          <w:rFonts w:hint="eastAsia" w:eastAsia="仿宋_GB2312"/>
          <w:b/>
          <w:bCs/>
          <w:sz w:val="32"/>
          <w:szCs w:val="32"/>
          <w:highlight w:val="none"/>
        </w:rPr>
        <w:t>三公经费控制情况：</w:t>
      </w:r>
    </w:p>
    <w:p>
      <w:pPr>
        <w:pStyle w:val="2"/>
        <w:ind w:firstLine="640" w:firstLineChars="200"/>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2021年度“三公”经费决算14.41万元，年初预算29万元，完成预算的49.69%。其中：公务用车运行维护费决算14.34万元，完成预算的68.29%，年末公务用车保有量3台；公务接待费决算0.07万元，完成预算的1.00%。2021年度“三公”经费决算数小于预算数的主要原因是对公务车维护管理进行了严格控制，公务接待次数少。</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eastAsia="仿宋_GB2312"/>
          <w:b/>
          <w:bCs/>
          <w:sz w:val="32"/>
          <w:szCs w:val="32"/>
          <w:highlight w:val="none"/>
        </w:rPr>
      </w:pPr>
      <w:r>
        <w:rPr>
          <w:rFonts w:hint="eastAsia" w:eastAsia="仿宋_GB2312"/>
          <w:b/>
          <w:bCs/>
          <w:sz w:val="32"/>
          <w:szCs w:val="32"/>
          <w:highlight w:val="none"/>
        </w:rPr>
        <w:t>内部管理制度建设情况：</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eastAsia="仿宋_GB2312"/>
          <w:sz w:val="32"/>
          <w:szCs w:val="32"/>
          <w:highlight w:val="none"/>
          <w:lang w:eastAsia="zh-CN"/>
        </w:rPr>
      </w:pPr>
      <w:r>
        <w:rPr>
          <w:rFonts w:hint="eastAsia" w:eastAsia="仿宋_GB2312"/>
          <w:b w:val="0"/>
          <w:bCs w:val="0"/>
          <w:sz w:val="32"/>
          <w:szCs w:val="32"/>
          <w:highlight w:val="none"/>
          <w:lang w:val="en-US" w:eastAsia="zh-CN"/>
        </w:rPr>
        <w:t>已完成2021年行政事业单位内部控制报告系统填报，今年系统暂无评定等级</w:t>
      </w:r>
      <w:r>
        <w:rPr>
          <w:rFonts w:hint="eastAsia" w:eastAsia="仿宋_GB2312"/>
          <w:sz w:val="32"/>
          <w:szCs w:val="32"/>
          <w:highlight w:val="none"/>
          <w:lang w:eastAsia="zh-CN"/>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eastAsia="仿宋_GB2312"/>
          <w:b w:val="0"/>
          <w:bCs w:val="0"/>
          <w:sz w:val="32"/>
          <w:szCs w:val="32"/>
          <w:highlight w:val="none"/>
        </w:rPr>
      </w:pPr>
      <w:r>
        <w:rPr>
          <w:rFonts w:hint="eastAsia" w:eastAsia="仿宋_GB2312"/>
          <w:b/>
          <w:bCs/>
          <w:sz w:val="32"/>
          <w:szCs w:val="32"/>
          <w:highlight w:val="none"/>
        </w:rPr>
        <w:t>项目绩效总目标完成情况</w:t>
      </w:r>
      <w:r>
        <w:rPr>
          <w:rFonts w:hint="eastAsia" w:eastAsia="仿宋_GB2312"/>
          <w:b w:val="0"/>
          <w:bCs w:val="0"/>
          <w:sz w:val="32"/>
          <w:szCs w:val="32"/>
          <w:highlight w:val="none"/>
        </w:rPr>
        <w:t>：</w:t>
      </w:r>
    </w:p>
    <w:p>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eastAsia="仿宋_GB2312"/>
          <w:sz w:val="32"/>
          <w:szCs w:val="32"/>
          <w:highlight w:val="none"/>
          <w:lang w:eastAsia="zh-CN"/>
        </w:rPr>
      </w:pPr>
      <w:r>
        <w:rPr>
          <w:rFonts w:hint="eastAsia" w:eastAsia="仿宋_GB2312"/>
          <w:b w:val="0"/>
          <w:bCs w:val="0"/>
          <w:sz w:val="32"/>
          <w:szCs w:val="32"/>
          <w:highlight w:val="none"/>
          <w:lang w:eastAsia="zh-CN"/>
        </w:rPr>
        <w:t>查违拆违、</w:t>
      </w:r>
      <w:r>
        <w:rPr>
          <w:rFonts w:hint="eastAsia" w:ascii="仿宋_GB2312" w:hAnsi="仿宋" w:eastAsia="仿宋_GB2312"/>
          <w:snapToGrid w:val="0"/>
          <w:kern w:val="0"/>
          <w:sz w:val="32"/>
          <w:szCs w:val="32"/>
          <w:highlight w:val="none"/>
          <w:lang w:eastAsia="zh-CN"/>
        </w:rPr>
        <w:t>污水处理厂及基站运行维护、村级组织运转经费、乡村振兴、农村清洁工程、农村生活污水治理、农林水事务支出、镇区污水收集管网、志溪河高新区段堤防加固工程设计、人居环境整治完成绩效目标，取得良好效果。</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（三）部门整体支出或项目实施情况分析</w:t>
      </w:r>
    </w:p>
    <w:p>
      <w:pPr>
        <w:spacing w:line="560" w:lineRule="exact"/>
        <w:ind w:firstLine="640" w:firstLineChars="200"/>
        <w:rPr>
          <w:rFonts w:hint="eastAsia" w:ascii="仿宋" w:hAnsi="仿宋" w:eastAsia="仿宋"/>
          <w:sz w:val="32"/>
          <w:szCs w:val="32"/>
          <w:highlight w:val="none"/>
        </w:rPr>
      </w:pPr>
      <w:r>
        <w:rPr>
          <w:rFonts w:hint="eastAsia" w:ascii="仿宋" w:hAnsi="仿宋" w:eastAsia="仿宋"/>
          <w:sz w:val="32"/>
          <w:szCs w:val="32"/>
          <w:highlight w:val="none"/>
        </w:rPr>
        <w:t>从整体情况来看，</w:t>
      </w:r>
      <w:r>
        <w:rPr>
          <w:rFonts w:hint="eastAsia" w:ascii="仿宋" w:hAnsi="仿宋" w:eastAsia="仿宋"/>
          <w:sz w:val="32"/>
          <w:szCs w:val="32"/>
          <w:highlight w:val="none"/>
          <w:lang w:eastAsia="zh-CN"/>
        </w:rPr>
        <w:t>我镇在</w:t>
      </w:r>
      <w:r>
        <w:rPr>
          <w:rFonts w:hint="eastAsia" w:ascii="仿宋" w:hAnsi="仿宋" w:eastAsia="仿宋"/>
          <w:sz w:val="32"/>
          <w:szCs w:val="32"/>
          <w:highlight w:val="none"/>
          <w:lang w:val="en-US" w:eastAsia="zh-CN"/>
        </w:rPr>
        <w:t>2021年</w:t>
      </w:r>
      <w:r>
        <w:rPr>
          <w:rFonts w:hint="eastAsia" w:ascii="仿宋" w:hAnsi="仿宋" w:eastAsia="仿宋"/>
          <w:sz w:val="32"/>
          <w:szCs w:val="32"/>
          <w:highlight w:val="none"/>
        </w:rPr>
        <w:t>严格按照年初预算</w:t>
      </w:r>
      <w:r>
        <w:rPr>
          <w:rFonts w:hint="eastAsia" w:ascii="仿宋" w:hAnsi="仿宋" w:eastAsia="仿宋"/>
          <w:sz w:val="32"/>
          <w:szCs w:val="32"/>
          <w:highlight w:val="none"/>
          <w:lang w:eastAsia="zh-CN"/>
        </w:rPr>
        <w:t>列支</w:t>
      </w:r>
      <w:r>
        <w:rPr>
          <w:rFonts w:hint="eastAsia" w:ascii="仿宋" w:hAnsi="仿宋" w:eastAsia="仿宋"/>
          <w:sz w:val="32"/>
          <w:szCs w:val="32"/>
          <w:highlight w:val="none"/>
        </w:rPr>
        <w:t>。在支出过程中，能严格遵守各项规章制度。所有项目都制定了方案，严格按方案组织实施，并加强了监督。尤其是在专项经费支出上，我们专款专用，按项目实施计划的进度情况进行资金拨付，无截留、无挪用等现象。</w:t>
      </w:r>
    </w:p>
    <w:p>
      <w:pPr>
        <w:spacing w:line="560" w:lineRule="exact"/>
        <w:ind w:firstLine="640" w:firstLineChars="200"/>
        <w:rPr>
          <w:rFonts w:hint="eastAsia" w:ascii="仿宋" w:hAnsi="仿宋" w:eastAsia="仿宋"/>
          <w:sz w:val="32"/>
          <w:szCs w:val="32"/>
          <w:highlight w:val="none"/>
        </w:rPr>
      </w:pP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二、绩效评价工作情况</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（一）绩效评价目的</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通过</w:t>
      </w:r>
      <w:r>
        <w:rPr>
          <w:rFonts w:hint="eastAsia" w:ascii="仿宋" w:hAnsi="仿宋" w:eastAsia="仿宋" w:cs="Times New Roman"/>
          <w:sz w:val="32"/>
          <w:szCs w:val="32"/>
          <w:highlight w:val="none"/>
          <w:lang w:eastAsia="zh-CN"/>
        </w:rPr>
        <w:t>整体绩效自评和</w:t>
      </w:r>
      <w:r>
        <w:rPr>
          <w:rFonts w:hint="eastAsia" w:ascii="仿宋" w:hAnsi="仿宋" w:eastAsia="仿宋" w:cs="Times New Roman"/>
          <w:sz w:val="32"/>
          <w:szCs w:val="32"/>
          <w:highlight w:val="none"/>
        </w:rPr>
        <w:t>项目绩效自评，掌握资金使用情况与预期目标，资金管理规范程度，资金使用成效，检验经费支出效率和效果，分析存在问题及原因，及时总结经验，改进管理措施，有效提高资金管理水平和使用效益。</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项目绩效自评</w:t>
      </w:r>
      <w:r>
        <w:rPr>
          <w:rFonts w:hint="eastAsia" w:ascii="仿宋" w:hAnsi="仿宋" w:eastAsia="仿宋" w:cs="Times New Roman"/>
          <w:sz w:val="32"/>
          <w:szCs w:val="32"/>
          <w:highlight w:val="none"/>
          <w:lang w:eastAsia="zh-CN"/>
        </w:rPr>
        <w:t>的对象为</w:t>
      </w:r>
      <w:r>
        <w:rPr>
          <w:rFonts w:hint="eastAsia" w:eastAsia="仿宋_GB2312"/>
          <w:b w:val="0"/>
          <w:bCs w:val="0"/>
          <w:sz w:val="32"/>
          <w:szCs w:val="32"/>
          <w:highlight w:val="none"/>
          <w:lang w:eastAsia="zh-CN"/>
        </w:rPr>
        <w:t>查违拆违、</w:t>
      </w:r>
      <w:r>
        <w:rPr>
          <w:rFonts w:hint="eastAsia" w:ascii="仿宋_GB2312" w:hAnsi="仿宋" w:eastAsia="仿宋_GB2312"/>
          <w:snapToGrid w:val="0"/>
          <w:kern w:val="0"/>
          <w:sz w:val="32"/>
          <w:szCs w:val="32"/>
          <w:highlight w:val="none"/>
          <w:lang w:eastAsia="zh-CN"/>
        </w:rPr>
        <w:t>污水处理厂及基站运行维护、村级组织运转经费、乡村振兴、农村清洁工程、农村生活污水治理、农林水事务支出、镇区污水收集管网、志溪河高新区段堤防加固工程设计、人居环境整治</w:t>
      </w:r>
      <w:r>
        <w:rPr>
          <w:rFonts w:hint="eastAsia" w:ascii="仿宋" w:hAnsi="仿宋" w:eastAsia="仿宋" w:cs="Times New Roman"/>
          <w:sz w:val="32"/>
          <w:szCs w:val="32"/>
          <w:highlight w:val="none"/>
          <w:lang w:eastAsia="zh-CN"/>
        </w:rPr>
        <w:t>项目，时间范围为</w:t>
      </w:r>
      <w:r>
        <w:rPr>
          <w:rFonts w:hint="eastAsia" w:ascii="仿宋" w:hAnsi="仿宋" w:eastAsia="仿宋" w:cs="Times New Roman"/>
          <w:sz w:val="32"/>
          <w:szCs w:val="32"/>
          <w:highlight w:val="none"/>
          <w:lang w:val="en-US" w:eastAsia="zh-CN"/>
        </w:rPr>
        <w:t>2021年1月-12月。</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（二）绩效评价工作过程</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1.前期准备</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（1）根据《</w:t>
      </w:r>
      <w:r>
        <w:rPr>
          <w:rFonts w:hint="eastAsia" w:ascii="仿宋" w:hAnsi="仿宋" w:eastAsia="仿宋" w:cs="Times New Roman"/>
          <w:sz w:val="32"/>
          <w:szCs w:val="32"/>
          <w:highlight w:val="none"/>
          <w:lang w:eastAsia="zh-CN"/>
        </w:rPr>
        <w:t>高新区</w:t>
      </w:r>
      <w:r>
        <w:rPr>
          <w:rFonts w:hint="eastAsia" w:ascii="仿宋" w:hAnsi="仿宋" w:eastAsia="仿宋" w:cs="Times New Roman"/>
          <w:sz w:val="32"/>
          <w:szCs w:val="32"/>
          <w:highlight w:val="none"/>
        </w:rPr>
        <w:t>财政局关于</w:t>
      </w:r>
      <w:r>
        <w:rPr>
          <w:rFonts w:hint="eastAsia" w:ascii="仿宋" w:hAnsi="仿宋" w:eastAsia="仿宋" w:cs="Times New Roman"/>
          <w:sz w:val="32"/>
          <w:szCs w:val="32"/>
          <w:highlight w:val="none"/>
          <w:lang w:eastAsia="zh-CN"/>
        </w:rPr>
        <w:t>做好</w:t>
      </w:r>
      <w:r>
        <w:rPr>
          <w:rFonts w:hint="eastAsia" w:ascii="仿宋" w:hAnsi="仿宋" w:eastAsia="仿宋" w:cs="Times New Roman"/>
          <w:sz w:val="32"/>
          <w:szCs w:val="32"/>
          <w:highlight w:val="none"/>
        </w:rPr>
        <w:t>20</w:t>
      </w:r>
      <w:r>
        <w:rPr>
          <w:rFonts w:hint="eastAsia" w:ascii="仿宋" w:hAnsi="仿宋" w:eastAsia="仿宋" w:cs="Times New Roman"/>
          <w:sz w:val="32"/>
          <w:szCs w:val="32"/>
          <w:highlight w:val="none"/>
          <w:lang w:val="en-US" w:eastAsia="zh-CN"/>
        </w:rPr>
        <w:t>21</w:t>
      </w:r>
      <w:r>
        <w:rPr>
          <w:rFonts w:hint="eastAsia" w:ascii="仿宋" w:hAnsi="仿宋" w:eastAsia="仿宋" w:cs="Times New Roman"/>
          <w:sz w:val="32"/>
          <w:szCs w:val="32"/>
          <w:highlight w:val="none"/>
        </w:rPr>
        <w:t>年</w:t>
      </w:r>
      <w:r>
        <w:rPr>
          <w:rFonts w:hint="eastAsia" w:ascii="仿宋" w:hAnsi="仿宋" w:eastAsia="仿宋" w:cs="Times New Roman"/>
          <w:sz w:val="32"/>
          <w:szCs w:val="32"/>
          <w:highlight w:val="none"/>
          <w:lang w:eastAsia="zh-CN"/>
        </w:rPr>
        <w:t>预算</w:t>
      </w:r>
      <w:r>
        <w:rPr>
          <w:rFonts w:hint="eastAsia" w:ascii="仿宋" w:hAnsi="仿宋" w:eastAsia="仿宋" w:cs="Times New Roman"/>
          <w:sz w:val="32"/>
          <w:szCs w:val="32"/>
          <w:highlight w:val="none"/>
        </w:rPr>
        <w:t>绩效</w:t>
      </w:r>
      <w:r>
        <w:rPr>
          <w:rFonts w:hint="eastAsia" w:ascii="仿宋" w:hAnsi="仿宋" w:eastAsia="仿宋" w:cs="Times New Roman"/>
          <w:sz w:val="32"/>
          <w:szCs w:val="32"/>
          <w:highlight w:val="none"/>
          <w:lang w:eastAsia="zh-CN"/>
        </w:rPr>
        <w:t>自评</w:t>
      </w:r>
      <w:r>
        <w:rPr>
          <w:rFonts w:hint="eastAsia" w:ascii="仿宋" w:hAnsi="仿宋" w:eastAsia="仿宋" w:cs="Times New Roman"/>
          <w:sz w:val="32"/>
          <w:szCs w:val="32"/>
          <w:highlight w:val="none"/>
        </w:rPr>
        <w:t>工作的通知》</w:t>
      </w:r>
      <w:r>
        <w:rPr>
          <w:rFonts w:hint="eastAsia" w:ascii="仿宋" w:hAnsi="仿宋" w:eastAsia="仿宋" w:cs="Times New Roman"/>
          <w:sz w:val="32"/>
          <w:szCs w:val="32"/>
          <w:highlight w:val="none"/>
          <w:lang w:eastAsia="zh-CN"/>
        </w:rPr>
        <w:t>的</w:t>
      </w:r>
      <w:r>
        <w:rPr>
          <w:rFonts w:hint="eastAsia" w:ascii="仿宋" w:hAnsi="仿宋" w:eastAsia="仿宋" w:cs="Times New Roman"/>
          <w:sz w:val="32"/>
          <w:szCs w:val="32"/>
          <w:highlight w:val="none"/>
        </w:rPr>
        <w:t>要求，</w:t>
      </w:r>
      <w:r>
        <w:rPr>
          <w:rFonts w:hint="eastAsia" w:ascii="仿宋" w:hAnsi="仿宋" w:eastAsia="仿宋" w:cs="Times New Roman"/>
          <w:sz w:val="32"/>
          <w:szCs w:val="32"/>
          <w:highlight w:val="none"/>
          <w:lang w:eastAsia="zh-CN"/>
        </w:rPr>
        <w:t>我镇</w:t>
      </w:r>
      <w:r>
        <w:rPr>
          <w:rFonts w:hint="eastAsia" w:ascii="仿宋" w:hAnsi="仿宋" w:eastAsia="仿宋" w:cs="Times New Roman"/>
          <w:sz w:val="32"/>
          <w:szCs w:val="32"/>
          <w:highlight w:val="none"/>
        </w:rPr>
        <w:t>领导高度重视，成立</w:t>
      </w:r>
      <w:r>
        <w:rPr>
          <w:rFonts w:hint="eastAsia" w:ascii="仿宋" w:hAnsi="仿宋" w:eastAsia="仿宋" w:cs="Times New Roman"/>
          <w:sz w:val="32"/>
          <w:szCs w:val="32"/>
          <w:highlight w:val="none"/>
          <w:lang w:eastAsia="zh-CN"/>
        </w:rPr>
        <w:t>谢林港镇</w:t>
      </w:r>
      <w:r>
        <w:rPr>
          <w:rFonts w:hint="eastAsia" w:ascii="仿宋" w:hAnsi="仿宋" w:eastAsia="仿宋" w:cs="Times New Roman"/>
          <w:sz w:val="32"/>
          <w:szCs w:val="32"/>
          <w:highlight w:val="none"/>
        </w:rPr>
        <w:t>绩效自评工作领导小组，全面负责项目支出绩效自评工作的开展。</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（2）召开绩效自评工作专题会议，明确分工，把握绩效自评标准和要求，对列入自评的项目进行梳理确定绩效自评项目，开展绩效自评工作并编写项目支出绩效自评报告，报送</w:t>
      </w:r>
      <w:r>
        <w:rPr>
          <w:rFonts w:hint="eastAsia" w:ascii="仿宋" w:hAnsi="仿宋" w:eastAsia="仿宋" w:cs="Times New Roman"/>
          <w:sz w:val="32"/>
          <w:szCs w:val="32"/>
          <w:highlight w:val="none"/>
          <w:lang w:eastAsia="zh-CN"/>
        </w:rPr>
        <w:t>区</w:t>
      </w:r>
      <w:r>
        <w:rPr>
          <w:rFonts w:hint="eastAsia" w:ascii="仿宋" w:hAnsi="仿宋" w:eastAsia="仿宋" w:cs="Times New Roman"/>
          <w:sz w:val="32"/>
          <w:szCs w:val="32"/>
          <w:highlight w:val="none"/>
        </w:rPr>
        <w:t>财政局业务科室审核把关。</w:t>
      </w:r>
    </w:p>
    <w:p>
      <w:pPr>
        <w:spacing w:line="560" w:lineRule="exact"/>
        <w:ind w:firstLine="640" w:firstLineChars="200"/>
        <w:rPr>
          <w:rFonts w:hint="eastAsia" w:ascii="仿宋" w:hAnsi="仿宋" w:eastAsia="仿宋" w:cs="Times New Roman"/>
          <w:sz w:val="32"/>
          <w:szCs w:val="32"/>
          <w:highlight w:val="none"/>
        </w:rPr>
      </w:pPr>
      <w:r>
        <w:rPr>
          <w:rFonts w:hint="eastAsia" w:ascii="仿宋" w:hAnsi="仿宋" w:eastAsia="仿宋" w:cs="Times New Roman"/>
          <w:sz w:val="32"/>
          <w:szCs w:val="32"/>
          <w:highlight w:val="none"/>
        </w:rPr>
        <w:t>2.组织实施</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（1）明确任务分工，压实工作责任，加强督促指导，确保项目绩效自评严格按照工作方案有序进行。</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（2）认真准备相关资料，深入客观进行分析评价，在各项目分工自评的基础上统一分类汇总，高质量地完成项目绩效自评工作。</w:t>
      </w:r>
    </w:p>
    <w:p>
      <w:pPr>
        <w:keepNext w:val="0"/>
        <w:keepLines w:val="0"/>
        <w:pageBreakBefore w:val="0"/>
        <w:widowControl w:val="0"/>
        <w:kinsoku/>
        <w:wordWrap/>
        <w:overflowPunct/>
        <w:topLinePunct w:val="0"/>
        <w:autoSpaceDE/>
        <w:autoSpaceDN/>
        <w:bidi w:val="0"/>
        <w:snapToGrid w:val="0"/>
        <w:spacing w:line="360" w:lineRule="auto"/>
        <w:ind w:firstLine="640" w:firstLineChars="200"/>
        <w:textAlignment w:val="auto"/>
        <w:rPr>
          <w:rFonts w:hint="eastAsia" w:ascii="仿宋" w:hAnsi="仿宋" w:eastAsia="仿宋"/>
          <w:sz w:val="32"/>
          <w:szCs w:val="32"/>
          <w:highlight w:val="none"/>
        </w:rPr>
      </w:pPr>
      <w:r>
        <w:rPr>
          <w:rFonts w:hint="eastAsia" w:ascii="仿宋_GB2312" w:hAnsi="仿宋_GB2312" w:eastAsia="仿宋_GB2312" w:cs="仿宋_GB2312"/>
          <w:sz w:val="32"/>
          <w:szCs w:val="32"/>
          <w:highlight w:val="none"/>
          <w:lang w:val="en-US" w:eastAsia="zh-CN"/>
        </w:rPr>
        <w:t>3.</w:t>
      </w:r>
      <w:r>
        <w:rPr>
          <w:rFonts w:hint="eastAsia" w:ascii="仿宋" w:hAnsi="仿宋" w:eastAsia="仿宋"/>
          <w:sz w:val="32"/>
          <w:szCs w:val="32"/>
          <w:highlight w:val="none"/>
        </w:rPr>
        <w:t>分析评价</w:t>
      </w:r>
    </w:p>
    <w:p>
      <w:pPr>
        <w:pStyle w:val="2"/>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sz w:val="32"/>
          <w:szCs w:val="32"/>
          <w:highlight w:val="none"/>
          <w:lang w:eastAsia="zh-CN"/>
        </w:rPr>
      </w:pPr>
      <w:r>
        <w:rPr>
          <w:rFonts w:hint="eastAsia" w:ascii="仿宋" w:hAnsi="仿宋" w:eastAsia="仿宋"/>
          <w:sz w:val="32"/>
          <w:szCs w:val="32"/>
          <w:highlight w:val="none"/>
          <w:lang w:eastAsia="zh-CN"/>
        </w:rPr>
        <w:t>根据绩效自评资料</w:t>
      </w:r>
      <w:r>
        <w:rPr>
          <w:rFonts w:hint="eastAsia" w:ascii="仿宋" w:hAnsi="仿宋" w:eastAsia="仿宋"/>
          <w:sz w:val="32"/>
          <w:szCs w:val="32"/>
          <w:highlight w:val="none"/>
          <w:lang w:val="en-US" w:eastAsia="zh-CN"/>
        </w:rPr>
        <w:t>,</w:t>
      </w:r>
      <w:r>
        <w:rPr>
          <w:rFonts w:hint="eastAsia" w:ascii="仿宋" w:hAnsi="仿宋" w:eastAsia="仿宋"/>
          <w:sz w:val="32"/>
          <w:szCs w:val="32"/>
          <w:highlight w:val="none"/>
          <w:lang w:eastAsia="zh-CN"/>
        </w:rPr>
        <w:t>自评领导工作小组会同各站办所负责人对所有自评项目进行客观评价。</w:t>
      </w:r>
    </w:p>
    <w:p>
      <w:pPr>
        <w:rPr>
          <w:rFonts w:hint="eastAsia"/>
          <w:highlight w:val="none"/>
          <w:lang w:eastAsia="zh-CN"/>
        </w:rPr>
      </w:pPr>
    </w:p>
    <w:p>
      <w:p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三、主要绩效及评价结论</w:t>
      </w:r>
    </w:p>
    <w:p>
      <w:pPr>
        <w:pStyle w:val="13"/>
        <w:keepNext w:val="0"/>
        <w:keepLines w:val="0"/>
        <w:pageBreakBefore w:val="0"/>
        <w:numPr>
          <w:ilvl w:val="0"/>
          <w:numId w:val="0"/>
        </w:numPr>
        <w:kinsoku/>
        <w:wordWrap/>
        <w:overflowPunct w:val="0"/>
        <w:topLinePunct w:val="0"/>
        <w:autoSpaceDE/>
        <w:autoSpaceDN/>
        <w:bidi w:val="0"/>
        <w:adjustRightInd/>
        <w:snapToGrid/>
        <w:spacing w:line="360" w:lineRule="auto"/>
        <w:ind w:left="0" w:leftChars="0" w:right="0" w:firstLine="640" w:firstLineChars="200"/>
        <w:jc w:val="both"/>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2021年我镇共获得了省市区共14项荣誉表彰，其中获评区级“农机工作先进乡镇”荣誉1项；获评市级“年度农村生活污水治理先进乡镇”、市级“卫生乡镇”、市级“文明乡镇”、市级“粮食生产先进乡镇”、市级“河长制十好乡镇”，清溪村获评“</w:t>
      </w:r>
      <w:r>
        <w:rPr>
          <w:rFonts w:hint="default" w:ascii="仿宋" w:hAnsi="仿宋" w:eastAsia="仿宋" w:cs="Times New Roman"/>
          <w:kern w:val="2"/>
          <w:sz w:val="32"/>
          <w:szCs w:val="32"/>
          <w:highlight w:val="none"/>
          <w:lang w:val="en-US" w:eastAsia="zh-CN" w:bidi="ar-SA"/>
        </w:rPr>
        <w:t>市级文明村</w:t>
      </w:r>
      <w:r>
        <w:rPr>
          <w:rFonts w:hint="eastAsia" w:ascii="仿宋" w:hAnsi="仿宋" w:eastAsia="仿宋" w:cs="Times New Roman"/>
          <w:kern w:val="2"/>
          <w:sz w:val="32"/>
          <w:szCs w:val="32"/>
          <w:highlight w:val="none"/>
          <w:lang w:val="en-US" w:eastAsia="zh-CN" w:bidi="ar-SA"/>
        </w:rPr>
        <w:t>”、</w:t>
      </w:r>
      <w:r>
        <w:rPr>
          <w:rFonts w:hint="default" w:ascii="仿宋" w:hAnsi="仿宋" w:eastAsia="仿宋" w:cs="Times New Roman"/>
          <w:kern w:val="2"/>
          <w:sz w:val="32"/>
          <w:szCs w:val="32"/>
          <w:highlight w:val="none"/>
          <w:lang w:val="en-US" w:eastAsia="zh-CN" w:bidi="ar-SA"/>
        </w:rPr>
        <w:t>“市级卫生村</w:t>
      </w:r>
      <w:r>
        <w:rPr>
          <w:rFonts w:hint="eastAsia" w:ascii="仿宋" w:hAnsi="仿宋" w:eastAsia="仿宋" w:cs="Times New Roman"/>
          <w:kern w:val="2"/>
          <w:sz w:val="32"/>
          <w:szCs w:val="32"/>
          <w:highlight w:val="none"/>
          <w:lang w:val="en-US" w:eastAsia="zh-CN" w:bidi="ar-SA"/>
        </w:rPr>
        <w:t>”、北峰垸村获评</w:t>
      </w:r>
      <w:r>
        <w:rPr>
          <w:rFonts w:hint="default" w:ascii="仿宋" w:hAnsi="仿宋" w:eastAsia="仿宋" w:cs="Times New Roman"/>
          <w:kern w:val="2"/>
          <w:sz w:val="32"/>
          <w:szCs w:val="32"/>
          <w:highlight w:val="none"/>
          <w:lang w:val="en-US" w:eastAsia="zh-CN" w:bidi="ar-SA"/>
        </w:rPr>
        <w:t>“市级卫生村”</w:t>
      </w:r>
      <w:r>
        <w:rPr>
          <w:rFonts w:hint="eastAsia" w:ascii="仿宋" w:hAnsi="仿宋" w:eastAsia="仿宋" w:cs="Times New Roman"/>
          <w:kern w:val="2"/>
          <w:sz w:val="32"/>
          <w:szCs w:val="32"/>
          <w:highlight w:val="none"/>
          <w:lang w:val="en-US" w:eastAsia="zh-CN" w:bidi="ar-SA"/>
        </w:rPr>
        <w:t>、“市级放管服和‘一件事一次办’改革工作真抓实干表扬激励村”共荣誉9项；清溪村获评省级“乡村旅游重点村”、</w:t>
      </w:r>
      <w:r>
        <w:rPr>
          <w:rFonts w:hint="default" w:ascii="仿宋" w:hAnsi="仿宋" w:eastAsia="仿宋" w:cs="Times New Roman"/>
          <w:kern w:val="2"/>
          <w:sz w:val="32"/>
          <w:szCs w:val="32"/>
          <w:highlight w:val="none"/>
          <w:lang w:val="en-US" w:eastAsia="zh-CN" w:bidi="ar-SA"/>
        </w:rPr>
        <w:t>“省级治理有效示范村”</w:t>
      </w:r>
      <w:r>
        <w:rPr>
          <w:rFonts w:hint="eastAsia" w:ascii="仿宋" w:hAnsi="仿宋" w:eastAsia="仿宋" w:cs="Times New Roman"/>
          <w:kern w:val="2"/>
          <w:sz w:val="32"/>
          <w:szCs w:val="32"/>
          <w:highlight w:val="none"/>
          <w:lang w:val="en-US" w:eastAsia="zh-CN" w:bidi="ar-SA"/>
        </w:rPr>
        <w:t>、</w:t>
      </w:r>
      <w:r>
        <w:rPr>
          <w:rFonts w:hint="default" w:ascii="仿宋" w:hAnsi="仿宋" w:eastAsia="仿宋" w:cs="Times New Roman"/>
          <w:kern w:val="2"/>
          <w:sz w:val="32"/>
          <w:szCs w:val="32"/>
          <w:highlight w:val="none"/>
          <w:lang w:val="en-US" w:eastAsia="zh-CN" w:bidi="ar-SA"/>
        </w:rPr>
        <w:t>“省级乡村振兴示范创建村”</w:t>
      </w:r>
      <w:r>
        <w:rPr>
          <w:rFonts w:hint="eastAsia" w:ascii="仿宋" w:hAnsi="仿宋" w:eastAsia="仿宋" w:cs="Times New Roman"/>
          <w:kern w:val="2"/>
          <w:sz w:val="32"/>
          <w:szCs w:val="32"/>
          <w:highlight w:val="none"/>
          <w:lang w:val="en-US" w:eastAsia="zh-CN" w:bidi="ar-SA"/>
        </w:rPr>
        <w:t>、玉皇庙村获评</w:t>
      </w:r>
      <w:r>
        <w:rPr>
          <w:rFonts w:hint="default" w:ascii="仿宋" w:hAnsi="仿宋" w:eastAsia="仿宋" w:cs="Times New Roman"/>
          <w:kern w:val="2"/>
          <w:sz w:val="32"/>
          <w:szCs w:val="32"/>
          <w:highlight w:val="none"/>
          <w:lang w:val="en-US" w:eastAsia="zh-CN" w:bidi="ar-SA"/>
        </w:rPr>
        <w:t>省级村庄规划优秀案例三等奖</w:t>
      </w:r>
      <w:r>
        <w:rPr>
          <w:rFonts w:hint="eastAsia" w:ascii="仿宋" w:hAnsi="仿宋" w:eastAsia="仿宋" w:cs="Times New Roman"/>
          <w:kern w:val="2"/>
          <w:sz w:val="32"/>
          <w:szCs w:val="32"/>
          <w:highlight w:val="none"/>
          <w:lang w:val="en-US" w:eastAsia="zh-CN" w:bidi="ar-SA"/>
        </w:rPr>
        <w:t>共荣誉4项。</w:t>
      </w:r>
    </w:p>
    <w:p>
      <w:pPr>
        <w:pStyle w:val="13"/>
        <w:keepNext w:val="0"/>
        <w:keepLines w:val="0"/>
        <w:pageBreakBefore w:val="0"/>
        <w:numPr>
          <w:ilvl w:val="0"/>
          <w:numId w:val="0"/>
        </w:numPr>
        <w:kinsoku/>
        <w:wordWrap/>
        <w:overflowPunct w:val="0"/>
        <w:topLinePunct w:val="0"/>
        <w:autoSpaceDE/>
        <w:autoSpaceDN/>
        <w:bidi w:val="0"/>
        <w:adjustRightInd/>
        <w:snapToGrid/>
        <w:spacing w:line="360" w:lineRule="auto"/>
        <w:ind w:left="0" w:leftChars="0" w:right="0" w:firstLine="640" w:firstLineChars="200"/>
        <w:jc w:val="both"/>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全年完成高铁新城生活配套区、保税区、北峰垸大堤加固、邓石桥互通、云树路、立波学校、云雾山社区卸土场等39个项目拆迁工作，共拆迁房屋519栋，为各项目建设保驾护航。全年新引进了3000万元的艾草加工产业建设项目、5000万元的电商产业园建设项目、4000万元乡村振兴研究院建设项目、2000万元的油茶加工产业项目，并完成了271万元立项争资的目标任务，招商引资成果凸显。坚持靠前服务，助力企业发展，加强企业招工“点对点”服务，为伟源科技有限公司等企业解决用工难题800余个，营商环境不断优化。圆满完成了3.73万亩粮食生产任务，严格管控区的764.84亩受污染耕地已全部退出水稻生产，安全利用区6832亩耕地已全面落实“六艺”措施，其中重点打造了739亩耕地集中推进区，形成了全镇可复制可推广的安全利用技术模式。</w:t>
      </w:r>
    </w:p>
    <w:p>
      <w:pPr>
        <w:pStyle w:val="13"/>
        <w:keepNext w:val="0"/>
        <w:keepLines w:val="0"/>
        <w:pageBreakBefore w:val="0"/>
        <w:numPr>
          <w:ilvl w:val="0"/>
          <w:numId w:val="0"/>
        </w:numPr>
        <w:kinsoku/>
        <w:wordWrap/>
        <w:overflowPunct w:val="0"/>
        <w:topLinePunct w:val="0"/>
        <w:autoSpaceDE/>
        <w:autoSpaceDN/>
        <w:bidi w:val="0"/>
        <w:adjustRightInd/>
        <w:snapToGrid/>
        <w:spacing w:line="360" w:lineRule="auto"/>
        <w:ind w:left="0" w:leftChars="0" w:right="0" w:firstLine="640" w:firstLineChars="200"/>
        <w:jc w:val="both"/>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圆满完成3.73万亩粮食生产任务，严格管控区的764.84亩受污染耕地已全部退出水稻生产，安全利用区6832亩耕地已全面落实“六艺”措施，其中重点打造了739亩耕地集中推进区，形成了全镇可复制可推广的安全利用技术模式。实施粮食产业提质增效行动，全面启动实施高标准农田建设项目。紧紧与休闲体验、文化旅游、电商发展等联系起来，利用“生产+电商”拓展了发展空间，打造了谢林港镇电商基地，开辟了前沿的直播销售市场。坚持做优现代特色农业，培育农村新产业新业态，依托国联水产公司大小龙虾特色养殖，大力发展稻虾、稻鳖、稻鱼、稻油等“稻田+”特色农业种养，打造国联水产2100亩稻虾共作现代农业、978.6亩无公害特色高效农业产业带，发展适度规模经营农业种植面积1.8万亩，实现了现代农业产值2.68亿元。以“农业”+旅游为靶向的现代农业园区辐射和带动力不断增强，成为集观光休闲、餐饮住宿、农耕体验、科普教育等为一体的文农旅综合区，通过“农旅融合”精准造血，清溪村及周边村年接待游客达到了70万人次以上，旅游综合收入超过2亿元，村民们也走上了一条乡村旅游致富路，农家乐每户年均餐饮收入在12-15万元左右，部分高达70-80万元。</w:t>
      </w:r>
    </w:p>
    <w:p>
      <w:pPr>
        <w:keepNext w:val="0"/>
        <w:keepLines w:val="0"/>
        <w:pageBreakBefore w:val="0"/>
        <w:widowControl w:val="0"/>
        <w:kinsoku/>
        <w:wordWrap/>
        <w:overflowPunct/>
        <w:topLinePunct w:val="0"/>
        <w:autoSpaceDE/>
        <w:autoSpaceDN/>
        <w:bidi w:val="0"/>
        <w:adjustRightInd/>
        <w:snapToGrid/>
        <w:spacing w:line="360" w:lineRule="auto"/>
        <w:ind w:left="0" w:right="0" w:firstLine="640" w:firstLineChars="200"/>
        <w:textAlignment w:val="auto"/>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全面推进乡村振兴战略实施，坚持抓重点、补短板、强弱项，已投入近1.5亿元，稳步推进志溪河高新区段堤防加固和生态修复工程建设；投入1000余万元启动长益常安置基地、楠木塘安置基地、复兴村安置基地等四个安置基地的前期建设；投入800余万元实施美丽乡村创建工作；投入380万元，完成了高新区防汛抗旱指挥部工程水利基础设施建设；投入285.3万元完成复兴村农村生活污水治理工程，新建716户生活污水处理设施，生活污水治理率达68.3%。</w:t>
      </w:r>
    </w:p>
    <w:p>
      <w:pPr>
        <w:pStyle w:val="2"/>
        <w:ind w:firstLine="640" w:firstLineChars="200"/>
        <w:rPr>
          <w:rFonts w:hint="eastAsia" w:ascii="仿宋" w:hAnsi="仿宋" w:eastAsia="仿宋" w:cs="Times New Roman"/>
          <w:kern w:val="2"/>
          <w:sz w:val="32"/>
          <w:szCs w:val="32"/>
          <w:highlight w:val="none"/>
          <w:lang w:val="en-US" w:eastAsia="zh-CN" w:bidi="ar-SA"/>
        </w:rPr>
      </w:pPr>
      <w:r>
        <w:rPr>
          <w:rFonts w:hint="eastAsia" w:ascii="仿宋" w:hAnsi="仿宋" w:eastAsia="仿宋" w:cs="Times New Roman"/>
          <w:kern w:val="2"/>
          <w:sz w:val="32"/>
          <w:szCs w:val="32"/>
          <w:highlight w:val="none"/>
          <w:lang w:val="en-US" w:eastAsia="zh-CN" w:bidi="ar-SA"/>
        </w:rPr>
        <w:t>全面落实疫情防控各项措施，对高风险地区来（返）人员、境外留学旅游工作人员进行彻查彻排，严防输入扩散。积极推进新冠疫苗接种工作，在疫情防控阻击战中不缺位、做到位、有作为，做到常态化疫情防控与经济社会发展同步进行。民生保障持续强化。全年发放各项民生资金393.2368万元，惠及群众1178户1323人，其中发放临时救助资金40.4万元、特困人员生活补贴151.0121万元、分散特困护理补贴9.016万元、孤儿基本生活费5.7万元、困难残疾人生活补贴10.4365万元、重度残疾人护理补贴25.054万元。社会治理切实加强。全年调解各类纠纷94起。稳步推进“雪亮工程”，扎实开展“六进六护”专项行动。开展安全生产隐患大排查大整治，确保了“建党一百周年”特护期安全。开展危险化学品“打非治违”、交通、马路市场整治联合执法行动30多次，开展安全生产例行检查80多次。</w:t>
      </w:r>
    </w:p>
    <w:p>
      <w:pPr>
        <w:rPr>
          <w:rFonts w:hint="eastAsia"/>
          <w:highlight w:val="none"/>
          <w:lang w:val="en-US" w:eastAsia="zh-CN"/>
        </w:rPr>
      </w:pPr>
    </w:p>
    <w:p>
      <w:pPr>
        <w:numPr>
          <w:ilvl w:val="0"/>
          <w:numId w:val="3"/>
        </w:numPr>
        <w:spacing w:line="560" w:lineRule="exact"/>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rPr>
        <w:t>存在的问题</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 w:eastAsia="仿宋_GB2312"/>
          <w:snapToGrid w:val="0"/>
          <w:kern w:val="0"/>
          <w:sz w:val="32"/>
          <w:szCs w:val="32"/>
          <w:highlight w:val="none"/>
          <w:lang w:val="en-US" w:eastAsia="zh-CN"/>
        </w:rPr>
      </w:pPr>
      <w:r>
        <w:rPr>
          <w:rFonts w:hint="eastAsia" w:ascii="仿宋_GB2312" w:hAnsi="仿宋" w:eastAsia="仿宋_GB2312"/>
          <w:snapToGrid w:val="0"/>
          <w:kern w:val="0"/>
          <w:sz w:val="32"/>
          <w:szCs w:val="32"/>
          <w:highlight w:val="none"/>
          <w:lang w:val="en-US" w:eastAsia="zh-CN"/>
        </w:rPr>
        <w:t>1.在工程招投标、工程款按合同支付等方面上有待进一步细化管理，切实做到依法依规。</w:t>
      </w:r>
    </w:p>
    <w:p>
      <w:pPr>
        <w:keepNext w:val="0"/>
        <w:keepLines w:val="0"/>
        <w:pageBreakBefore w:val="0"/>
        <w:widowControl w:val="0"/>
        <w:numPr>
          <w:ilvl w:val="0"/>
          <w:numId w:val="0"/>
        </w:numPr>
        <w:kinsoku/>
        <w:wordWrap/>
        <w:overflowPunct/>
        <w:topLinePunct w:val="0"/>
        <w:autoSpaceDE/>
        <w:autoSpaceDN/>
        <w:bidi w:val="0"/>
        <w:spacing w:line="360" w:lineRule="auto"/>
        <w:ind w:firstLine="640" w:firstLineChars="200"/>
        <w:textAlignment w:val="auto"/>
        <w:rPr>
          <w:rFonts w:hint="eastAsia" w:ascii="仿宋_GB2312" w:hAnsi="仿宋" w:eastAsia="仿宋_GB2312"/>
          <w:snapToGrid w:val="0"/>
          <w:kern w:val="0"/>
          <w:sz w:val="32"/>
          <w:szCs w:val="32"/>
          <w:highlight w:val="none"/>
          <w:lang w:val="en-US" w:eastAsia="zh-CN"/>
        </w:rPr>
      </w:pPr>
      <w:r>
        <w:rPr>
          <w:rFonts w:hint="eastAsia" w:ascii="仿宋_GB2312" w:hAnsi="仿宋_GB2312" w:eastAsia="仿宋_GB2312" w:cs="仿宋_GB2312"/>
          <w:sz w:val="32"/>
          <w:szCs w:val="32"/>
          <w:highlight w:val="none"/>
          <w:lang w:val="en-US" w:eastAsia="zh-CN"/>
        </w:rPr>
        <w:t>2.</w:t>
      </w:r>
      <w:r>
        <w:rPr>
          <w:rFonts w:hint="eastAsia" w:ascii="仿宋_GB2312" w:hAnsi="仿宋_GB2312" w:eastAsia="仿宋_GB2312" w:cs="仿宋_GB2312"/>
          <w:sz w:val="32"/>
          <w:szCs w:val="32"/>
          <w:highlight w:val="none"/>
        </w:rPr>
        <w:t>目前乡村振兴人员短缺，专业技术人员不足，年龄断层严重，并且由于政府人事调动、职位职权调整等因素导致建设工程延续性不强，工作交接问题突出。</w:t>
      </w:r>
    </w:p>
    <w:p>
      <w:pPr>
        <w:ind w:firstLine="640" w:firstLineChars="200"/>
        <w:jc w:val="left"/>
        <w:rPr>
          <w:rFonts w:cs="黑体" w:asciiTheme="minorEastAsia" w:hAnsiTheme="minorEastAsia"/>
          <w:color w:val="000000"/>
          <w:kern w:val="0"/>
          <w:sz w:val="32"/>
          <w:szCs w:val="32"/>
          <w:highlight w:val="none"/>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00" w:usb3="00000000" w:csb0="0004009F" w:csb1="DFD7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A820A9"/>
    <w:multiLevelType w:val="singleLevel"/>
    <w:tmpl w:val="E3A820A9"/>
    <w:lvl w:ilvl="0" w:tentative="0">
      <w:start w:val="5"/>
      <w:numFmt w:val="decimal"/>
      <w:suff w:val="nothing"/>
      <w:lvlText w:val="%1、"/>
      <w:lvlJc w:val="left"/>
      <w:pPr>
        <w:ind w:left="-10"/>
      </w:pPr>
    </w:lvl>
  </w:abstractNum>
  <w:abstractNum w:abstractNumId="1">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59CEA79"/>
    <w:multiLevelType w:val="singleLevel"/>
    <w:tmpl w:val="559CEA79"/>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FiZDIzMjBhYjY3YjcwYmIxYWI1NjM4YzVmYjEyMDM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1C05928"/>
    <w:rsid w:val="02DB271E"/>
    <w:rsid w:val="05242A9E"/>
    <w:rsid w:val="074236CD"/>
    <w:rsid w:val="0A9957B9"/>
    <w:rsid w:val="0C6C46F7"/>
    <w:rsid w:val="0D064AFD"/>
    <w:rsid w:val="0E0D6690"/>
    <w:rsid w:val="18D86D0F"/>
    <w:rsid w:val="1C0005E2"/>
    <w:rsid w:val="27EA020A"/>
    <w:rsid w:val="2DEF06E0"/>
    <w:rsid w:val="2EF42F0C"/>
    <w:rsid w:val="36B63394"/>
    <w:rsid w:val="37AC54C0"/>
    <w:rsid w:val="37DF2259"/>
    <w:rsid w:val="3A5721EF"/>
    <w:rsid w:val="3FB41921"/>
    <w:rsid w:val="41D67591"/>
    <w:rsid w:val="45617CBE"/>
    <w:rsid w:val="460B4005"/>
    <w:rsid w:val="49A81846"/>
    <w:rsid w:val="4C695CDA"/>
    <w:rsid w:val="4F506DD9"/>
    <w:rsid w:val="500811B8"/>
    <w:rsid w:val="5038321F"/>
    <w:rsid w:val="5A1530F9"/>
    <w:rsid w:val="5A1F3A6C"/>
    <w:rsid w:val="5C4A0AAD"/>
    <w:rsid w:val="5C527725"/>
    <w:rsid w:val="5C6A536C"/>
    <w:rsid w:val="61013EAB"/>
    <w:rsid w:val="63EF00C9"/>
    <w:rsid w:val="6BF679A6"/>
    <w:rsid w:val="6DC86712"/>
    <w:rsid w:val="6DF64E4A"/>
    <w:rsid w:val="6EB25A17"/>
    <w:rsid w:val="6F716A47"/>
    <w:rsid w:val="700C6943"/>
    <w:rsid w:val="7046733D"/>
    <w:rsid w:val="70DE69A2"/>
    <w:rsid w:val="752775E8"/>
    <w:rsid w:val="77F45425"/>
    <w:rsid w:val="7D9B1C4D"/>
    <w:rsid w:val="7E1A042F"/>
    <w:rsid w:val="7E4412EF"/>
    <w:rsid w:val="7EB2287B"/>
    <w:rsid w:val="ABF9C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paragraph" w:customStyle="1" w:styleId="13">
    <w:name w:val="Body text|1"/>
    <w:basedOn w:val="1"/>
    <w:qFormat/>
    <w:uiPriority w:val="0"/>
    <w:pPr>
      <w:spacing w:line="449" w:lineRule="auto"/>
      <w:ind w:firstLine="400"/>
    </w:pPr>
    <w:rPr>
      <w:rFonts w:ascii="宋体" w:hAnsi="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50</Pages>
  <Words>14388</Words>
  <Characters>21662</Characters>
  <Lines>69</Lines>
  <Paragraphs>19</Paragraphs>
  <TotalTime>14</TotalTime>
  <ScaleCrop>false</ScaleCrop>
  <LinksUpToDate>false</LinksUpToDate>
  <CharactersWithSpaces>23089</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kylin</cp:lastModifiedBy>
  <cp:lastPrinted>2022-07-27T20:55:00Z</cp:lastPrinted>
  <dcterms:modified xsi:type="dcterms:W3CDTF">2025-10-31T16:31:12Z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1A199EC2F61942C4BDE053AADE65C257_13</vt:lpwstr>
  </property>
</Properties>
</file>