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B1C0">
      <w:pPr>
        <w:keepNext w:val="0"/>
        <w:keepLines w:val="0"/>
        <w:pageBreakBefore w:val="0"/>
        <w:tabs>
          <w:tab w:val="left" w:pos="1368"/>
        </w:tabs>
        <w:kinsoku/>
        <w:wordWrap/>
        <w:topLinePunct/>
        <w:autoSpaceDE/>
        <w:autoSpaceDN/>
        <w:bidi w:val="0"/>
        <w:spacing w:line="600" w:lineRule="exact"/>
        <w:jc w:val="center"/>
        <w:textAlignment w:val="auto"/>
        <w:rPr>
          <w:rFonts w:hint="default" w:ascii="Times New Roman" w:hAnsi="Times New Roman" w:eastAsia="方正小标宋简体" w:cs="Times New Roman"/>
          <w:bCs/>
          <w:color w:val="000000"/>
          <w:kern w:val="36"/>
          <w:sz w:val="44"/>
          <w:szCs w:val="44"/>
        </w:rPr>
      </w:pPr>
    </w:p>
    <w:p w14:paraId="1A758813">
      <w:pPr>
        <w:keepNext w:val="0"/>
        <w:keepLines w:val="0"/>
        <w:pageBreakBefore w:val="0"/>
        <w:tabs>
          <w:tab w:val="left" w:pos="1368"/>
        </w:tabs>
        <w:kinsoku/>
        <w:wordWrap/>
        <w:topLinePunct/>
        <w:autoSpaceDE/>
        <w:autoSpaceDN/>
        <w:bidi w:val="0"/>
        <w:spacing w:line="600" w:lineRule="exact"/>
        <w:jc w:val="center"/>
        <w:textAlignment w:val="auto"/>
        <w:rPr>
          <w:rFonts w:hint="eastAsia" w:ascii="方正小标宋简体" w:hAnsi="方正小标宋简体" w:eastAsia="方正小标宋简体" w:cs="方正小标宋简体"/>
          <w:bCs/>
          <w:color w:val="000000"/>
          <w:kern w:val="36"/>
          <w:sz w:val="44"/>
          <w:szCs w:val="44"/>
        </w:rPr>
      </w:pPr>
      <w:r>
        <w:rPr>
          <w:rFonts w:hint="eastAsia" w:ascii="方正小标宋简体" w:hAnsi="方正小标宋简体" w:eastAsia="方正小标宋简体" w:cs="方正小标宋简体"/>
          <w:bCs/>
          <w:color w:val="000000"/>
          <w:kern w:val="36"/>
          <w:sz w:val="44"/>
          <w:szCs w:val="44"/>
        </w:rPr>
        <w:t>20</w:t>
      </w:r>
      <w:r>
        <w:rPr>
          <w:rFonts w:hint="eastAsia" w:ascii="方正小标宋简体" w:hAnsi="方正小标宋简体" w:eastAsia="方正小标宋简体" w:cs="方正小标宋简体"/>
          <w:bCs/>
          <w:color w:val="000000"/>
          <w:kern w:val="36"/>
          <w:sz w:val="44"/>
          <w:szCs w:val="44"/>
          <w:lang w:val="en-US" w:eastAsia="zh-CN"/>
        </w:rPr>
        <w:t>24</w:t>
      </w:r>
      <w:r>
        <w:rPr>
          <w:rFonts w:hint="eastAsia" w:ascii="方正小标宋简体" w:hAnsi="方正小标宋简体" w:eastAsia="方正小标宋简体" w:cs="方正小标宋简体"/>
          <w:bCs/>
          <w:color w:val="000000"/>
          <w:kern w:val="36"/>
          <w:sz w:val="44"/>
          <w:szCs w:val="44"/>
        </w:rPr>
        <w:t>年</w:t>
      </w:r>
      <w:r>
        <w:rPr>
          <w:rFonts w:hint="eastAsia" w:ascii="方正小标宋简体" w:hAnsi="方正小标宋简体" w:eastAsia="方正小标宋简体" w:cs="方正小标宋简体"/>
          <w:bCs/>
          <w:color w:val="000000"/>
          <w:kern w:val="36"/>
          <w:sz w:val="44"/>
          <w:szCs w:val="44"/>
          <w:lang w:eastAsia="zh-CN"/>
        </w:rPr>
        <w:t>高新区</w:t>
      </w:r>
      <w:r>
        <w:rPr>
          <w:rFonts w:hint="eastAsia" w:ascii="方正小标宋简体" w:hAnsi="方正小标宋简体" w:eastAsia="方正小标宋简体" w:cs="方正小标宋简体"/>
          <w:bCs/>
          <w:color w:val="000000"/>
          <w:kern w:val="36"/>
          <w:sz w:val="44"/>
          <w:szCs w:val="44"/>
        </w:rPr>
        <w:t>转移支付情况说明</w:t>
      </w:r>
    </w:p>
    <w:p w14:paraId="2B68CFB3">
      <w:pPr>
        <w:keepNext w:val="0"/>
        <w:keepLines w:val="0"/>
        <w:pageBreakBefore w:val="0"/>
        <w:kinsoku/>
        <w:wordWrap/>
        <w:autoSpaceDE/>
        <w:autoSpaceDN/>
        <w:bidi w:val="0"/>
        <w:spacing w:line="600" w:lineRule="exact"/>
        <w:ind w:firstLine="560" w:firstLineChars="200"/>
        <w:jc w:val="both"/>
        <w:textAlignment w:val="auto"/>
        <w:rPr>
          <w:rFonts w:hint="default" w:ascii="Times New Roman" w:hAnsi="Times New Roman" w:cs="Times New Roman"/>
          <w:sz w:val="28"/>
          <w:szCs w:val="28"/>
        </w:rPr>
      </w:pPr>
    </w:p>
    <w:p w14:paraId="041FDF97">
      <w:pPr>
        <w:keepNext w:val="0"/>
        <w:keepLines w:val="0"/>
        <w:pageBreakBefore w:val="0"/>
        <w:kinsoku/>
        <w:wordWrap/>
        <w:overflowPunct w:val="0"/>
        <w:autoSpaceDE/>
        <w:autoSpaceDN/>
        <w:bidi w:val="0"/>
        <w:spacing w:line="600" w:lineRule="exact"/>
        <w:ind w:firstLine="616" w:firstLineChars="200"/>
        <w:jc w:val="both"/>
        <w:textAlignment w:val="auto"/>
        <w:rPr>
          <w:rFonts w:hint="default" w:ascii="Times New Roman" w:hAnsi="Times New Roman" w:eastAsia="仿宋_GB2312" w:cs="Times New Roman"/>
          <w:color w:val="000000"/>
          <w:spacing w:val="-6"/>
          <w:sz w:val="32"/>
          <w:szCs w:val="32"/>
          <w:lang w:val="en-US" w:eastAsia="zh-CN"/>
        </w:rPr>
      </w:pPr>
      <w:r>
        <w:rPr>
          <w:rFonts w:hint="default" w:ascii="Times New Roman" w:hAnsi="Times New Roman" w:eastAsia="仿宋_GB2312" w:cs="Times New Roman"/>
          <w:color w:val="000000"/>
          <w:spacing w:val="-6"/>
          <w:sz w:val="32"/>
          <w:szCs w:val="32"/>
          <w:lang w:val="en-US" w:eastAsia="zh-CN"/>
        </w:rPr>
        <w:t>2024年，益阳高新区一般公共预算上级补助收入68719万元，具体如下：</w:t>
      </w:r>
    </w:p>
    <w:p w14:paraId="6B4DF156">
      <w:pPr>
        <w:pStyle w:val="14"/>
        <w:keepNext w:val="0"/>
        <w:keepLines w:val="0"/>
        <w:pageBreakBefore w:val="0"/>
        <w:numPr>
          <w:ilvl w:val="0"/>
          <w:numId w:val="0"/>
        </w:numPr>
        <w:kinsoku/>
        <w:wordWrap/>
        <w:bidi w:val="0"/>
        <w:ind w:firstLine="616" w:firstLineChars="200"/>
        <w:jc w:val="both"/>
        <w:textAlignment w:val="auto"/>
        <w:rPr>
          <w:rFonts w:hint="default" w:ascii="Times New Roman" w:hAnsi="Times New Roman" w:eastAsia="仿宋_GB2312" w:cs="Times New Roman"/>
          <w:color w:val="000000"/>
          <w:spacing w:val="-6"/>
          <w:sz w:val="32"/>
          <w:szCs w:val="32"/>
          <w:lang w:val="en-US" w:eastAsia="zh-CN"/>
        </w:rPr>
      </w:pPr>
      <w:r>
        <w:rPr>
          <w:rFonts w:hint="default" w:ascii="Times New Roman" w:hAnsi="Times New Roman" w:eastAsia="仿宋_GB2312" w:cs="Times New Roman"/>
          <w:bCs/>
          <w:color w:val="000000"/>
          <w:spacing w:val="-6"/>
          <w:kern w:val="0"/>
          <w:sz w:val="32"/>
          <w:szCs w:val="32"/>
          <w:lang w:val="en-US" w:eastAsia="zh-CN" w:bidi="zh-CN"/>
        </w:rPr>
        <w:t>1.</w:t>
      </w:r>
      <w:r>
        <w:rPr>
          <w:rFonts w:hint="default" w:ascii="Times New Roman" w:hAnsi="Times New Roman" w:eastAsia="仿宋_GB2312" w:cs="Times New Roman"/>
          <w:color w:val="000000"/>
          <w:spacing w:val="-6"/>
          <w:sz w:val="32"/>
          <w:szCs w:val="32"/>
          <w:lang w:val="en-US" w:eastAsia="zh-CN"/>
        </w:rPr>
        <w:t>返还性收入14949万元。</w:t>
      </w:r>
    </w:p>
    <w:p w14:paraId="58001BF8">
      <w:pPr>
        <w:pStyle w:val="14"/>
        <w:keepNext w:val="0"/>
        <w:keepLines w:val="0"/>
        <w:pageBreakBefore w:val="0"/>
        <w:numPr>
          <w:ilvl w:val="0"/>
          <w:numId w:val="0"/>
        </w:numPr>
        <w:kinsoku/>
        <w:wordWrap/>
        <w:bidi w:val="0"/>
        <w:ind w:firstLine="616" w:firstLineChars="200"/>
        <w:jc w:val="both"/>
        <w:textAlignment w:val="auto"/>
        <w:rPr>
          <w:rFonts w:hint="default" w:ascii="Times New Roman" w:hAnsi="Times New Roman" w:eastAsia="仿宋_GB2312" w:cs="Times New Roman"/>
          <w:color w:val="000000"/>
          <w:spacing w:val="-6"/>
          <w:sz w:val="32"/>
          <w:szCs w:val="32"/>
          <w:lang w:val="en-US" w:eastAsia="zh-CN"/>
        </w:rPr>
      </w:pPr>
      <w:r>
        <w:rPr>
          <w:rFonts w:hint="default" w:ascii="Times New Roman" w:hAnsi="Times New Roman" w:eastAsia="仿宋_GB2312" w:cs="Times New Roman"/>
          <w:color w:val="000000"/>
          <w:spacing w:val="-6"/>
          <w:sz w:val="32"/>
          <w:szCs w:val="32"/>
          <w:lang w:val="en-US" w:eastAsia="zh-CN"/>
        </w:rPr>
        <w:t>2.一般性转移支付收入8439万元。其中：均衡性转移支付收入522元；结算补助收入200万元；企业事业单位划拨补助收入540万元； 产粮(油)大县奖励资金收入23万元；固定数额补助收入583万元；公共安全共同财政事权转移支付收入28万元；教育共同财政事权转移支付收入67万元；科学技术共同财政事权转移支付收入510万元；文化旅游体育与传媒共同财政事权转移支付收入145万元；社会保障和就业共同财政事权转移支付收入2044万元；医疗卫生共同财政事权转移支付收入1959万元；节能环保共同财政事权转移支付收入10万元；农林水共同财政事权转移支付收入990万元；交通运输共同财政事权转移支付收入544万元；住房保障共同财政事权转移支付收入544万元；灾害防治及应急管理共同财政事权转移支付收入8万元；其他一般性转移支付收入239万元。</w:t>
      </w:r>
    </w:p>
    <w:p w14:paraId="0B13727B">
      <w:pPr>
        <w:pStyle w:val="14"/>
        <w:keepNext w:val="0"/>
        <w:keepLines w:val="0"/>
        <w:pageBreakBefore w:val="0"/>
        <w:numPr>
          <w:ilvl w:val="0"/>
          <w:numId w:val="0"/>
        </w:numPr>
        <w:kinsoku/>
        <w:wordWrap/>
        <w:bidi w:val="0"/>
        <w:ind w:firstLine="616" w:firstLineChars="200"/>
        <w:jc w:val="both"/>
        <w:textAlignment w:val="auto"/>
        <w:rPr>
          <w:rFonts w:hint="default" w:ascii="Times New Roman" w:hAnsi="Times New Roman" w:eastAsia="仿宋_GB2312" w:cs="Times New Roman"/>
          <w:color w:val="000000"/>
          <w:spacing w:val="-6"/>
          <w:sz w:val="32"/>
          <w:szCs w:val="32"/>
          <w:lang w:val="en-US" w:eastAsia="zh-CN"/>
        </w:rPr>
      </w:pPr>
      <w:r>
        <w:rPr>
          <w:rFonts w:hint="default" w:ascii="Times New Roman" w:hAnsi="Times New Roman" w:eastAsia="仿宋_GB2312" w:cs="Times New Roman"/>
          <w:color w:val="000000"/>
          <w:spacing w:val="-6"/>
          <w:sz w:val="32"/>
          <w:szCs w:val="32"/>
          <w:lang w:val="en-US" w:eastAsia="zh-CN"/>
        </w:rPr>
        <w:t>3.专项转移支付收入45331万元。</w:t>
      </w:r>
    </w:p>
    <w:p w14:paraId="200FD9D6">
      <w:pPr>
        <w:pStyle w:val="14"/>
        <w:keepNext w:val="0"/>
        <w:keepLines w:val="0"/>
        <w:pageBreakBefore w:val="0"/>
        <w:numPr>
          <w:ilvl w:val="0"/>
          <w:numId w:val="0"/>
        </w:numPr>
        <w:kinsoku/>
        <w:wordWrap/>
        <w:bidi w:val="0"/>
        <w:ind w:firstLine="616" w:firstLineChars="200"/>
        <w:jc w:val="both"/>
        <w:textAlignment w:val="auto"/>
        <w:rPr>
          <w:rFonts w:hint="default" w:ascii="Times New Roman" w:hAnsi="Times New Roman" w:eastAsia="仿宋_GB2312" w:cs="Times New Roman"/>
          <w:color w:val="000000"/>
          <w:spacing w:val="-6"/>
          <w:sz w:val="32"/>
          <w:szCs w:val="32"/>
          <w:lang w:val="en-US" w:eastAsia="zh-CN"/>
        </w:rPr>
      </w:pPr>
      <w:r>
        <w:rPr>
          <w:rFonts w:hint="default" w:ascii="Times New Roman" w:hAnsi="Times New Roman" w:eastAsia="仿宋_GB2312" w:cs="Times New Roman"/>
          <w:color w:val="000000"/>
          <w:spacing w:val="-6"/>
          <w:sz w:val="32"/>
          <w:szCs w:val="32"/>
          <w:lang w:val="en-US" w:eastAsia="zh-CN"/>
        </w:rPr>
        <w:t>2023年，高新区政府性基金上级补助收入8304万元。</w:t>
      </w:r>
    </w:p>
    <w:p w14:paraId="579583DA">
      <w:pPr>
        <w:pStyle w:val="12"/>
        <w:keepNext w:val="0"/>
        <w:keepLines w:val="0"/>
        <w:pageBreakBefore w:val="0"/>
        <w:kinsoku/>
        <w:wordWrap/>
        <w:autoSpaceDE/>
        <w:autoSpaceDN/>
        <w:bidi w:val="0"/>
        <w:spacing w:line="600" w:lineRule="exact"/>
        <w:jc w:val="both"/>
        <w:textAlignment w:val="auto"/>
        <w:rPr>
          <w:rFonts w:hint="default" w:ascii="Times New Roman" w:hAnsi="Times New Roman" w:eastAsia="黑体" w:cs="Times New Roman"/>
          <w:bCs/>
          <w:color w:val="000000"/>
          <w:kern w:val="36"/>
          <w:sz w:val="32"/>
          <w:szCs w:val="32"/>
        </w:rPr>
      </w:pPr>
    </w:p>
    <w:p w14:paraId="68CE81D4">
      <w:pPr>
        <w:keepNext w:val="0"/>
        <w:keepLines w:val="0"/>
        <w:pageBreakBefore w:val="0"/>
        <w:tabs>
          <w:tab w:val="left" w:pos="1368"/>
        </w:tabs>
        <w:kinsoku/>
        <w:wordWrap/>
        <w:topLinePunct/>
        <w:autoSpaceDE/>
        <w:autoSpaceDN/>
        <w:bidi w:val="0"/>
        <w:spacing w:line="600" w:lineRule="exact"/>
        <w:jc w:val="center"/>
        <w:textAlignment w:val="auto"/>
        <w:rPr>
          <w:rFonts w:hint="default" w:ascii="Times New Roman" w:hAnsi="Times New Roman" w:eastAsia="方正小标宋简体" w:cs="Times New Roman"/>
          <w:bCs/>
          <w:color w:val="000000"/>
          <w:kern w:val="36"/>
          <w:sz w:val="44"/>
          <w:szCs w:val="44"/>
        </w:rPr>
      </w:pPr>
    </w:p>
    <w:p w14:paraId="309EC87D">
      <w:pPr>
        <w:keepNext w:val="0"/>
        <w:keepLines w:val="0"/>
        <w:pageBreakBefore w:val="0"/>
        <w:tabs>
          <w:tab w:val="left" w:pos="1368"/>
        </w:tabs>
        <w:kinsoku/>
        <w:wordWrap/>
        <w:topLinePunct/>
        <w:autoSpaceDE/>
        <w:autoSpaceDN/>
        <w:bidi w:val="0"/>
        <w:spacing w:line="600" w:lineRule="exact"/>
        <w:jc w:val="center"/>
        <w:textAlignment w:val="auto"/>
        <w:rPr>
          <w:rFonts w:hint="eastAsia" w:ascii="方正小标宋简体" w:hAnsi="方正小标宋简体" w:eastAsia="方正小标宋简体" w:cs="方正小标宋简体"/>
          <w:bCs/>
          <w:color w:val="000000"/>
          <w:kern w:val="36"/>
          <w:sz w:val="44"/>
          <w:szCs w:val="44"/>
        </w:rPr>
      </w:pPr>
      <w:r>
        <w:rPr>
          <w:rFonts w:hint="eastAsia" w:ascii="方正小标宋简体" w:hAnsi="方正小标宋简体" w:eastAsia="方正小标宋简体" w:cs="方正小标宋简体"/>
          <w:bCs/>
          <w:color w:val="000000"/>
          <w:kern w:val="36"/>
          <w:sz w:val="44"/>
          <w:szCs w:val="44"/>
        </w:rPr>
        <w:t>20</w:t>
      </w:r>
      <w:r>
        <w:rPr>
          <w:rFonts w:hint="eastAsia" w:ascii="方正小标宋简体" w:hAnsi="方正小标宋简体" w:eastAsia="方正小标宋简体" w:cs="方正小标宋简体"/>
          <w:bCs/>
          <w:color w:val="000000"/>
          <w:kern w:val="36"/>
          <w:sz w:val="44"/>
          <w:szCs w:val="44"/>
          <w:lang w:val="en-US" w:eastAsia="zh-CN"/>
        </w:rPr>
        <w:t>24</w:t>
      </w:r>
      <w:r>
        <w:rPr>
          <w:rFonts w:hint="eastAsia" w:ascii="方正小标宋简体" w:hAnsi="方正小标宋简体" w:eastAsia="方正小标宋简体" w:cs="方正小标宋简体"/>
          <w:bCs/>
          <w:color w:val="000000"/>
          <w:kern w:val="36"/>
          <w:sz w:val="44"/>
          <w:szCs w:val="44"/>
        </w:rPr>
        <w:t>年</w:t>
      </w:r>
      <w:r>
        <w:rPr>
          <w:rFonts w:hint="eastAsia" w:ascii="方正小标宋简体" w:hAnsi="方正小标宋简体" w:eastAsia="方正小标宋简体" w:cs="方正小标宋简体"/>
          <w:bCs/>
          <w:color w:val="000000"/>
          <w:kern w:val="36"/>
          <w:sz w:val="44"/>
          <w:szCs w:val="44"/>
          <w:lang w:eastAsia="zh-CN"/>
        </w:rPr>
        <w:t>高新区</w:t>
      </w:r>
      <w:r>
        <w:rPr>
          <w:rFonts w:hint="eastAsia" w:ascii="方正小标宋简体" w:hAnsi="方正小标宋简体" w:eastAsia="方正小标宋简体" w:cs="方正小标宋简体"/>
          <w:bCs/>
          <w:color w:val="000000"/>
          <w:kern w:val="36"/>
          <w:sz w:val="44"/>
          <w:szCs w:val="44"/>
        </w:rPr>
        <w:t>政府债务情况</w:t>
      </w:r>
    </w:p>
    <w:p w14:paraId="16495218">
      <w:pPr>
        <w:keepNext w:val="0"/>
        <w:keepLines w:val="0"/>
        <w:pageBreakBefore w:val="0"/>
        <w:kinsoku/>
        <w:wordWrap/>
        <w:topLinePunct/>
        <w:autoSpaceDE/>
        <w:autoSpaceDN/>
        <w:bidi w:val="0"/>
        <w:spacing w:line="600" w:lineRule="exact"/>
        <w:jc w:val="both"/>
        <w:textAlignment w:val="auto"/>
        <w:rPr>
          <w:rFonts w:hint="default" w:ascii="Times New Roman" w:hAnsi="Times New Roman" w:eastAsia="黑体" w:cs="Times New Roman"/>
          <w:bCs/>
          <w:color w:val="000000"/>
          <w:kern w:val="36"/>
          <w:sz w:val="40"/>
          <w:szCs w:val="40"/>
        </w:rPr>
      </w:pPr>
    </w:p>
    <w:p w14:paraId="7C9A911C">
      <w:pPr>
        <w:keepNext w:val="0"/>
        <w:keepLines w:val="0"/>
        <w:pageBreakBefore w:val="0"/>
        <w:kinsoku/>
        <w:wordWrap/>
        <w:overflowPunct w:val="0"/>
        <w:autoSpaceDE/>
        <w:autoSpaceDN/>
        <w:bidi w:val="0"/>
        <w:spacing w:line="600" w:lineRule="exact"/>
        <w:ind w:firstLine="616"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1.2024年，高新区纳入地方政府性债务管理系统的政府债务余额137.67亿元（一般债务16.25亿元、专项债务121.42亿元），其中2024年新增政府债务14.26亿元（一般债务0.17亿元、专项债务14.08亿元）。2024年高新区还本付息支出5.06亿元（偿还本金0.53亿元、利息支出4.53亿元），其中：一般公共预算债券还本付息支出0.55亿元（偿还本金0亿元、利息支出0.55亿元）、政府性基金预算债券还本付息支出4.51亿元（偿还本金0.53亿元、利息支出3.98亿元）。高新区债务风险总体可控，没有出现隐性债务新增、还本付息逾期、“三保”资金断链等现象，没有出现重大风险事件和债务舆情事件。</w:t>
      </w:r>
    </w:p>
    <w:p w14:paraId="7480E917">
      <w:pPr>
        <w:keepNext w:val="0"/>
        <w:keepLines w:val="0"/>
        <w:pageBreakBefore w:val="0"/>
        <w:kinsoku/>
        <w:wordWrap/>
        <w:overflowPunct w:val="0"/>
        <w:autoSpaceDE/>
        <w:autoSpaceDN/>
        <w:bidi w:val="0"/>
        <w:spacing w:line="600" w:lineRule="exact"/>
        <w:ind w:firstLine="616" w:firstLineChars="200"/>
        <w:jc w:val="both"/>
        <w:textAlignment w:val="auto"/>
        <w:rPr>
          <w:rFonts w:hint="default" w:ascii="Times New Roman" w:hAnsi="Times New Roman" w:eastAsia="方正小标宋简体" w:cs="Times New Roman"/>
          <w:color w:val="auto"/>
          <w:spacing w:val="-20"/>
          <w:sz w:val="44"/>
          <w:szCs w:val="44"/>
        </w:rPr>
      </w:pPr>
      <w:r>
        <w:rPr>
          <w:rFonts w:hint="default" w:ascii="Times New Roman" w:hAnsi="Times New Roman" w:eastAsia="仿宋_GB2312" w:cs="Times New Roman"/>
          <w:color w:val="auto"/>
          <w:spacing w:val="-6"/>
          <w:sz w:val="32"/>
          <w:szCs w:val="32"/>
        </w:rPr>
        <w:t>2024年，益阳高新区共收到债券资金14.26亿元，其中：新增一般债券0.17亿元</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新增专项债券</w:t>
      </w:r>
      <w:r>
        <w:rPr>
          <w:rFonts w:hint="eastAsia" w:ascii="Times New Roman" w:hAnsi="Times New Roman" w:eastAsia="仿宋_GB2312" w:cs="Times New Roman"/>
          <w:color w:val="auto"/>
          <w:spacing w:val="-6"/>
          <w:sz w:val="32"/>
          <w:szCs w:val="32"/>
          <w:lang w:val="en-US" w:eastAsia="zh-CN"/>
        </w:rPr>
        <w:t>5.2</w:t>
      </w:r>
      <w:r>
        <w:rPr>
          <w:rFonts w:hint="default" w:ascii="Times New Roman" w:hAnsi="Times New Roman" w:eastAsia="仿宋_GB2312" w:cs="Times New Roman"/>
          <w:color w:val="auto"/>
          <w:spacing w:val="-6"/>
          <w:sz w:val="32"/>
          <w:szCs w:val="32"/>
        </w:rPr>
        <w:t>亿元，</w:t>
      </w:r>
      <w:r>
        <w:rPr>
          <w:rFonts w:hint="eastAsia" w:ascii="Times New Roman" w:hAnsi="Times New Roman" w:eastAsia="仿宋_GB2312" w:cs="Times New Roman"/>
          <w:color w:val="auto"/>
          <w:spacing w:val="-6"/>
          <w:sz w:val="32"/>
          <w:szCs w:val="32"/>
          <w:lang w:eastAsia="zh-CN"/>
        </w:rPr>
        <w:t>隐债置换</w:t>
      </w:r>
      <w:r>
        <w:rPr>
          <w:rFonts w:hint="default" w:ascii="Times New Roman" w:hAnsi="Times New Roman" w:eastAsia="仿宋_GB2312" w:cs="Times New Roman"/>
          <w:color w:val="auto"/>
          <w:spacing w:val="-6"/>
          <w:sz w:val="32"/>
          <w:szCs w:val="32"/>
        </w:rPr>
        <w:t>债券8.88亿元。新增一般债券0.17亿元用于偿还政府拖欠企业账款。新增专项债券按资金用途划分为项目建设4.15亿元(益阳国家级高新区通信装备及零部件研发生产基地项目（一期）3.85亿元、益阳高新区超频三5G产业园生产厂房及配套用房建设项目0.3亿元)；补充政府性基金财力1.05亿元（益阳高新区中南电子商务产业园建设项目0.36亿元、益阳高新区楠木塘及姚家湾农民安置基地建设项目0.3亿元、益阳高新区朝阳产业园三期标准厂房建设项目0.4亿元）。</w:t>
      </w:r>
    </w:p>
    <w:p w14:paraId="79AD51F5">
      <w:pPr>
        <w:jc w:val="both"/>
        <w:rPr>
          <w:rFonts w:hint="default" w:ascii="Times New Roman" w:hAnsi="Times New Roman" w:eastAsia="方正小标宋简体" w:cs="Times New Roman"/>
          <w:spacing w:val="-20"/>
          <w:sz w:val="44"/>
          <w:szCs w:val="44"/>
        </w:rPr>
      </w:pPr>
    </w:p>
    <w:p w14:paraId="374B60CA">
      <w:pPr>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益阳高新区202</w:t>
      </w:r>
      <w:r>
        <w:rPr>
          <w:rFonts w:hint="eastAsia" w:ascii="方正小标宋简体" w:hAnsi="方正小标宋简体" w:eastAsia="方正小标宋简体" w:cs="方正小标宋简体"/>
          <w:spacing w:val="-20"/>
          <w:sz w:val="44"/>
          <w:szCs w:val="44"/>
          <w:lang w:val="en-US" w:eastAsia="zh-CN"/>
        </w:rPr>
        <w:t>4</w:t>
      </w:r>
      <w:r>
        <w:rPr>
          <w:rFonts w:hint="eastAsia" w:ascii="方正小标宋简体" w:hAnsi="方正小标宋简体" w:eastAsia="方正小标宋简体" w:cs="方正小标宋简体"/>
          <w:spacing w:val="-20"/>
          <w:sz w:val="44"/>
          <w:szCs w:val="44"/>
        </w:rPr>
        <w:t>年度绩效管理工作开展情况</w:t>
      </w:r>
    </w:p>
    <w:p w14:paraId="624A115A">
      <w:pPr>
        <w:jc w:val="center"/>
        <w:rPr>
          <w:rFonts w:hint="default" w:ascii="Times New Roman" w:hAnsi="Times New Roman" w:cs="Times New Roman"/>
          <w:sz w:val="32"/>
          <w:szCs w:val="32"/>
        </w:rPr>
      </w:pPr>
    </w:p>
    <w:p w14:paraId="62119402">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年，我区预算绩效管理工作根据中央、省、市关于全面实施预算绩效管理的要求和决策部署，</w:t>
      </w:r>
      <w:r>
        <w:rPr>
          <w:rFonts w:hint="default" w:ascii="Times New Roman" w:hAnsi="Times New Roman" w:eastAsia="仿宋_GB2312" w:cs="Times New Roman"/>
          <w:bCs/>
          <w:sz w:val="32"/>
          <w:szCs w:val="32"/>
        </w:rPr>
        <w:t>创新思路、健全机制，</w:t>
      </w:r>
      <w:r>
        <w:rPr>
          <w:rFonts w:hint="default" w:ascii="Times New Roman" w:hAnsi="Times New Roman" w:eastAsia="仿宋_GB2312" w:cs="Times New Roman"/>
          <w:sz w:val="32"/>
          <w:szCs w:val="32"/>
        </w:rPr>
        <w:t>推动预算绩效管理不断提质增效。</w:t>
      </w:r>
    </w:p>
    <w:p w14:paraId="0931F981">
      <w:pPr>
        <w:spacing w:line="600" w:lineRule="exact"/>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1.完善绩效制度体系。</w:t>
      </w:r>
      <w:r>
        <w:rPr>
          <w:rFonts w:hint="default" w:ascii="Times New Roman" w:hAnsi="Times New Roman" w:eastAsia="仿宋_GB2312" w:cs="Times New Roman"/>
          <w:sz w:val="32"/>
          <w:szCs w:val="32"/>
        </w:rPr>
        <w:t>出台了《益阳高新区预算事前绩效评估管理办法》、《益阳高新区预算绩效目标管理办法》、《益阳高新区区级预算支出绩效运行监控管理办法》、《益阳高新区预算支出绩效评价结果应用管理暂行办法》等制度办法，为我区绩效管理工作提供了一系列制度保障；制定《益阳高新技术产业开发区财政局“绩效管理提升年”行动实施方案》，开展“绩效管理提升年”行动，明确科室责任分工，落实落细绩效管理各项要求。</w:t>
      </w:r>
    </w:p>
    <w:p w14:paraId="246294AC">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2.抓好绩效目标管理。</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将区属预算单位所有预算资金纳入绩效目标管理范围，实现了绩效目标管理全覆盖。按照“谁申请资金、谁编制目标”的原则，要求各预算单位在编制部门预算时一同申报部门整体支出绩效目标和项目支出绩效目标，</w:t>
      </w:r>
      <w:r>
        <w:rPr>
          <w:rFonts w:hint="default" w:ascii="Times New Roman" w:hAnsi="Times New Roman" w:eastAsia="仿宋" w:cs="Times New Roman"/>
          <w:sz w:val="32"/>
          <w:szCs w:val="32"/>
        </w:rPr>
        <w:t>实现绩效目标与部门预算同步申报、同步审核、同步批复、同步公开</w:t>
      </w:r>
      <w:r>
        <w:rPr>
          <w:rFonts w:hint="default" w:ascii="Times New Roman" w:hAnsi="Times New Roman" w:eastAsia="仿宋_GB2312" w:cs="Times New Roman"/>
          <w:sz w:val="32"/>
          <w:szCs w:val="32"/>
        </w:rPr>
        <w:t>。</w:t>
      </w:r>
    </w:p>
    <w:p w14:paraId="15E31FD6">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3.开展绩效运行监控。</w:t>
      </w:r>
      <w:r>
        <w:rPr>
          <w:rFonts w:hint="default" w:ascii="Times New Roman" w:hAnsi="Times New Roman" w:eastAsia="仿宋_GB2312" w:cs="Times New Roman"/>
          <w:sz w:val="32"/>
          <w:szCs w:val="32"/>
        </w:rPr>
        <w:t>组织预算单位开展绩效跟踪监控，指导和督促预算单位报送《项目支出绩效运行监控表》和运行监控报告，对项目绩效目标实现情况、预算执行进度、项目组织实施和资金使用管理等情况进行监控，通过绩效监控强化预算约束，防止目标跑偏、资金脱靶，保质保量实现绩效目标。</w:t>
      </w:r>
    </w:p>
    <w:p w14:paraId="618E8B3C">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4.积极推进绩效评价。</w:t>
      </w:r>
      <w:r>
        <w:rPr>
          <w:rFonts w:hint="default" w:ascii="Times New Roman" w:hAnsi="Times New Roman" w:eastAsia="仿宋_GB2312" w:cs="Times New Roman"/>
          <w:bCs/>
          <w:sz w:val="32"/>
          <w:szCs w:val="32"/>
        </w:rPr>
        <w:t>一是做好绩效自评工作。</w:t>
      </w:r>
      <w:r>
        <w:rPr>
          <w:rFonts w:hint="default" w:ascii="Times New Roman" w:hAnsi="Times New Roman" w:eastAsia="仿宋_GB2312" w:cs="Times New Roman"/>
          <w:sz w:val="32"/>
          <w:szCs w:val="32"/>
        </w:rPr>
        <w:t>要求高新区独立核算的所有预算单位开展202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年部门整体支出绩效自评工作，50万以上的项目支出由实施单位开展绩效自评，实行“一项目、一报告”，并将评价结果公开；二是加强财政重点绩效评价。聚焦重大决策部署和重点民生项目，202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年组织对</w:t>
      </w:r>
      <w:r>
        <w:rPr>
          <w:rFonts w:hint="default" w:ascii="Times New Roman" w:hAnsi="Times New Roman" w:eastAsia="仿宋_GB2312" w:cs="Times New Roman"/>
          <w:sz w:val="32"/>
          <w:szCs w:val="32"/>
          <w:lang w:eastAsia="zh-CN"/>
        </w:rPr>
        <w:t>乡村振兴衔接资金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高新区东部产业园片区清扫保洁项目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东部产业园高新大道、标准化厂房等绿化养护项目</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年政府专项债券项目及</w:t>
      </w:r>
      <w:r>
        <w:rPr>
          <w:rFonts w:hint="default" w:ascii="Times New Roman" w:hAnsi="Times New Roman" w:eastAsia="仿宋_GB2312" w:cs="Times New Roman"/>
          <w:sz w:val="32"/>
          <w:szCs w:val="32"/>
          <w:lang w:eastAsia="zh-CN"/>
        </w:rPr>
        <w:t>管委会办公室</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年度部门整体支出开展财政重点绩效评价，涉及财政资金</w:t>
      </w:r>
      <w:r>
        <w:rPr>
          <w:rFonts w:hint="default"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亿元。</w:t>
      </w:r>
    </w:p>
    <w:p w14:paraId="7B0758C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5.推进评价结果应用。</w:t>
      </w:r>
      <w:r>
        <w:rPr>
          <w:rFonts w:hint="default" w:ascii="Times New Roman" w:hAnsi="Times New Roman" w:eastAsia="仿宋_GB2312" w:cs="Times New Roman"/>
          <w:sz w:val="32"/>
          <w:szCs w:val="32"/>
        </w:rPr>
        <w:t>及时将重点绩效评价结果在网站上公开并反馈给项目相关单位，督促预算单位限期整改，加强绩效评价管理监督，把有限的财政资金花在刀刃上、用在关键处，不断提高财政资金使用效益</w:t>
      </w:r>
      <w:r>
        <w:rPr>
          <w:rFonts w:hint="default" w:ascii="Times New Roman" w:hAnsi="Times New Roman" w:eastAsia="仿宋_GB2312" w:cs="Times New Roman"/>
          <w:bCs/>
          <w:sz w:val="32"/>
          <w:szCs w:val="32"/>
        </w:rPr>
        <w:t>。逐步建立绩效评价结果与预算安排有机结合机制，</w:t>
      </w:r>
      <w:r>
        <w:rPr>
          <w:rFonts w:hint="default" w:ascii="Times New Roman" w:hAnsi="Times New Roman" w:eastAsia="仿宋_GB2312" w:cs="Times New Roman"/>
          <w:sz w:val="32"/>
          <w:szCs w:val="32"/>
        </w:rPr>
        <w:t>加强与预算科衔接，将绩效评价结果作为下年度预算安排和调整的重要依据，使绩效评价不流于形式，确保财政资金使用高效、透明。</w:t>
      </w:r>
    </w:p>
    <w:p w14:paraId="63AF3202">
      <w:pPr>
        <w:keepNext w:val="0"/>
        <w:keepLines w:val="0"/>
        <w:pageBreakBefore w:val="0"/>
        <w:kinsoku/>
        <w:wordWrap/>
        <w:autoSpaceDE/>
        <w:autoSpaceDN/>
        <w:bidi w:val="0"/>
        <w:spacing w:line="600" w:lineRule="exact"/>
        <w:jc w:val="both"/>
        <w:textAlignment w:val="auto"/>
        <w:rPr>
          <w:rFonts w:hint="default" w:ascii="Times New Roman" w:hAnsi="Times New Roman" w:eastAsia="仿宋_GB2312" w:cs="Times New Roman"/>
          <w:color w:val="0000FF"/>
          <w:sz w:val="32"/>
          <w:szCs w:val="32"/>
        </w:rPr>
      </w:pPr>
    </w:p>
    <w:p w14:paraId="4099CB42">
      <w:pPr>
        <w:keepNext w:val="0"/>
        <w:keepLines w:val="0"/>
        <w:pageBreakBefore w:val="0"/>
        <w:kinsoku/>
        <w:wordWrap/>
        <w:autoSpaceDE/>
        <w:autoSpaceDN/>
        <w:bidi w:val="0"/>
        <w:spacing w:line="600" w:lineRule="exact"/>
        <w:jc w:val="both"/>
        <w:textAlignment w:val="auto"/>
        <w:rPr>
          <w:rFonts w:hint="default" w:ascii="Times New Roman" w:hAnsi="Times New Roman" w:eastAsia="仿宋_GB2312" w:cs="Times New Roman"/>
          <w:sz w:val="32"/>
          <w:szCs w:val="32"/>
        </w:rPr>
      </w:pPr>
    </w:p>
    <w:p w14:paraId="126D3EC2">
      <w:pPr>
        <w:keepNext w:val="0"/>
        <w:keepLines w:val="0"/>
        <w:pageBreakBefore w:val="0"/>
        <w:tabs>
          <w:tab w:val="left" w:pos="1368"/>
        </w:tabs>
        <w:kinsoku/>
        <w:wordWrap/>
        <w:topLinePunct/>
        <w:autoSpaceDE/>
        <w:autoSpaceDN/>
        <w:bidi w:val="0"/>
        <w:spacing w:line="600" w:lineRule="exact"/>
        <w:jc w:val="both"/>
        <w:textAlignment w:val="auto"/>
        <w:rPr>
          <w:rFonts w:hint="default" w:ascii="Times New Roman" w:hAnsi="Times New Roman" w:eastAsia="黑体" w:cs="Times New Roman"/>
          <w:bCs/>
          <w:color w:val="000000"/>
          <w:kern w:val="36"/>
          <w:sz w:val="44"/>
          <w:szCs w:val="44"/>
        </w:rPr>
      </w:pPr>
    </w:p>
    <w:p w14:paraId="5A6C0C98">
      <w:pPr>
        <w:keepNext w:val="0"/>
        <w:keepLines w:val="0"/>
        <w:pageBreakBefore w:val="0"/>
        <w:tabs>
          <w:tab w:val="left" w:pos="1368"/>
        </w:tabs>
        <w:kinsoku/>
        <w:wordWrap/>
        <w:topLinePunct/>
        <w:autoSpaceDE/>
        <w:autoSpaceDN/>
        <w:bidi w:val="0"/>
        <w:spacing w:line="600" w:lineRule="exact"/>
        <w:jc w:val="center"/>
        <w:textAlignment w:val="auto"/>
        <w:rPr>
          <w:rFonts w:hint="eastAsia" w:ascii="方正小标宋简体" w:hAnsi="方正小标宋简体" w:eastAsia="方正小标宋简体" w:cs="方正小标宋简体"/>
          <w:bCs/>
          <w:color w:val="000000"/>
          <w:kern w:val="36"/>
          <w:sz w:val="44"/>
          <w:szCs w:val="44"/>
        </w:rPr>
      </w:pPr>
      <w:r>
        <w:rPr>
          <w:rFonts w:hint="eastAsia" w:ascii="方正小标宋简体" w:hAnsi="方正小标宋简体" w:eastAsia="方正小标宋简体" w:cs="方正小标宋简体"/>
          <w:bCs/>
          <w:color w:val="000000"/>
          <w:kern w:val="36"/>
          <w:sz w:val="44"/>
          <w:szCs w:val="44"/>
        </w:rPr>
        <w:t>20</w:t>
      </w:r>
      <w:r>
        <w:rPr>
          <w:rFonts w:hint="eastAsia" w:ascii="方正小标宋简体" w:hAnsi="方正小标宋简体" w:eastAsia="方正小标宋简体" w:cs="方正小标宋简体"/>
          <w:bCs/>
          <w:color w:val="000000"/>
          <w:kern w:val="36"/>
          <w:sz w:val="44"/>
          <w:szCs w:val="44"/>
          <w:lang w:val="en-US" w:eastAsia="zh-CN"/>
        </w:rPr>
        <w:t>24</w:t>
      </w:r>
      <w:r>
        <w:rPr>
          <w:rFonts w:hint="eastAsia" w:ascii="方正小标宋简体" w:hAnsi="方正小标宋简体" w:eastAsia="方正小标宋简体" w:cs="方正小标宋简体"/>
          <w:bCs/>
          <w:color w:val="000000"/>
          <w:kern w:val="36"/>
          <w:sz w:val="44"/>
          <w:szCs w:val="44"/>
        </w:rPr>
        <w:t>年</w:t>
      </w:r>
      <w:r>
        <w:rPr>
          <w:rFonts w:hint="eastAsia" w:ascii="方正小标宋简体" w:hAnsi="方正小标宋简体" w:eastAsia="方正小标宋简体" w:cs="方正小标宋简体"/>
          <w:bCs/>
          <w:color w:val="000000"/>
          <w:kern w:val="36"/>
          <w:sz w:val="44"/>
          <w:szCs w:val="44"/>
          <w:lang w:eastAsia="zh-CN"/>
        </w:rPr>
        <w:t>高新区</w:t>
      </w:r>
      <w:r>
        <w:rPr>
          <w:rFonts w:hint="eastAsia" w:ascii="方正小标宋简体" w:hAnsi="方正小标宋简体" w:eastAsia="方正小标宋简体" w:cs="方正小标宋简体"/>
          <w:bCs/>
          <w:color w:val="000000"/>
          <w:kern w:val="36"/>
          <w:sz w:val="44"/>
          <w:szCs w:val="44"/>
        </w:rPr>
        <w:t>“三公经费”决算说明</w:t>
      </w:r>
    </w:p>
    <w:p w14:paraId="40A9C9B0">
      <w:pPr>
        <w:keepNext w:val="0"/>
        <w:keepLines w:val="0"/>
        <w:pageBreakBefore w:val="0"/>
        <w:tabs>
          <w:tab w:val="left" w:pos="1368"/>
        </w:tabs>
        <w:kinsoku/>
        <w:wordWrap/>
        <w:topLinePunct/>
        <w:autoSpaceDE/>
        <w:autoSpaceDN/>
        <w:bidi w:val="0"/>
        <w:spacing w:line="600" w:lineRule="exact"/>
        <w:jc w:val="center"/>
        <w:textAlignment w:val="auto"/>
        <w:rPr>
          <w:rFonts w:hint="default" w:ascii="方正小标宋简体" w:hAnsi="方正小标宋简体" w:eastAsia="方正小标宋简体" w:cs="方正小标宋简体"/>
          <w:bCs/>
          <w:color w:val="000000"/>
          <w:kern w:val="36"/>
          <w:sz w:val="44"/>
          <w:szCs w:val="44"/>
        </w:rPr>
      </w:pPr>
    </w:p>
    <w:p w14:paraId="7AF44D95">
      <w:pPr>
        <w:keepNext w:val="0"/>
        <w:keepLines w:val="0"/>
        <w:pageBreakBefore w:val="0"/>
        <w:kinsoku/>
        <w:wordWrap/>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20</w:t>
      </w:r>
      <w:r>
        <w:rPr>
          <w:rFonts w:hint="default" w:ascii="Times New Roman" w:hAnsi="Times New Roman" w:eastAsia="仿宋_GB2312" w:cs="Times New Roman"/>
          <w:bCs/>
          <w:sz w:val="32"/>
          <w:szCs w:val="32"/>
          <w:lang w:val="en-US" w:eastAsia="zh-CN"/>
        </w:rPr>
        <w:t>24</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eastAsia="zh-CN"/>
        </w:rPr>
        <w:t>高新区“</w:t>
      </w:r>
      <w:r>
        <w:rPr>
          <w:rFonts w:hint="default" w:ascii="Times New Roman" w:hAnsi="Times New Roman" w:eastAsia="仿宋_GB2312" w:cs="Times New Roman"/>
          <w:bCs/>
          <w:sz w:val="32"/>
          <w:szCs w:val="32"/>
        </w:rPr>
        <w:t>三公经费</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决算数为</w:t>
      </w:r>
      <w:r>
        <w:rPr>
          <w:rFonts w:hint="default" w:ascii="Times New Roman" w:hAnsi="Times New Roman" w:eastAsia="仿宋_GB2312" w:cs="Times New Roman"/>
          <w:bCs/>
          <w:sz w:val="32"/>
          <w:szCs w:val="32"/>
          <w:lang w:val="en-US" w:eastAsia="zh-CN"/>
        </w:rPr>
        <w:t>142万元，为年初预算的53.99%，对比上年下降15.48%。</w:t>
      </w:r>
      <w:r>
        <w:rPr>
          <w:rFonts w:hint="default" w:ascii="Times New Roman" w:hAnsi="Times New Roman" w:eastAsia="仿宋_GB2312" w:cs="Times New Roman"/>
          <w:bCs/>
          <w:sz w:val="32"/>
          <w:szCs w:val="32"/>
        </w:rPr>
        <w:t>其中：公务接待费</w:t>
      </w:r>
      <w:r>
        <w:rPr>
          <w:rFonts w:hint="default" w:ascii="Times New Roman" w:hAnsi="Times New Roman" w:eastAsia="仿宋_GB2312" w:cs="Times New Roman"/>
          <w:bCs/>
          <w:sz w:val="32"/>
          <w:szCs w:val="32"/>
          <w:lang w:val="en-US" w:eastAsia="zh-CN"/>
        </w:rPr>
        <w:t>49</w:t>
      </w:r>
      <w:r>
        <w:rPr>
          <w:rFonts w:hint="default" w:ascii="Times New Roman" w:hAnsi="Times New Roman" w:eastAsia="仿宋_GB2312" w:cs="Times New Roman"/>
          <w:bCs/>
          <w:sz w:val="32"/>
          <w:szCs w:val="32"/>
        </w:rPr>
        <w:t>万元，为</w:t>
      </w:r>
      <w:r>
        <w:rPr>
          <w:rFonts w:hint="default" w:ascii="Times New Roman" w:hAnsi="Times New Roman" w:eastAsia="仿宋_GB2312" w:cs="Times New Roman"/>
          <w:bCs/>
          <w:sz w:val="32"/>
          <w:szCs w:val="32"/>
          <w:lang w:eastAsia="zh-CN"/>
        </w:rPr>
        <w:t>年初</w:t>
      </w:r>
      <w:r>
        <w:rPr>
          <w:rFonts w:hint="default" w:ascii="Times New Roman" w:hAnsi="Times New Roman" w:eastAsia="仿宋_GB2312" w:cs="Times New Roman"/>
          <w:bCs/>
          <w:sz w:val="32"/>
          <w:szCs w:val="32"/>
        </w:rPr>
        <w:t>预算的</w:t>
      </w:r>
      <w:r>
        <w:rPr>
          <w:rFonts w:hint="default" w:ascii="Times New Roman" w:hAnsi="Times New Roman" w:eastAsia="仿宋_GB2312" w:cs="Times New Roman"/>
          <w:bCs/>
          <w:sz w:val="32"/>
          <w:szCs w:val="32"/>
          <w:lang w:val="en-US" w:eastAsia="zh-CN"/>
        </w:rPr>
        <w:t>63.64%，对比上年下降增长133.33%；</w:t>
      </w:r>
      <w:r>
        <w:rPr>
          <w:rFonts w:hint="default" w:ascii="Times New Roman" w:hAnsi="Times New Roman" w:eastAsia="仿宋_GB2312" w:cs="Times New Roman"/>
          <w:bCs/>
          <w:sz w:val="32"/>
          <w:szCs w:val="32"/>
        </w:rPr>
        <w:t>因公出国（境）费</w:t>
      </w:r>
      <w:r>
        <w:rPr>
          <w:rFonts w:hint="default" w:ascii="Times New Roman" w:hAnsi="Times New Roman" w:eastAsia="仿宋_GB2312" w:cs="Times New Roman"/>
          <w:bCs/>
          <w:sz w:val="32"/>
          <w:szCs w:val="32"/>
          <w:lang w:val="en-US" w:eastAsia="zh-CN"/>
        </w:rPr>
        <w:t>0</w:t>
      </w:r>
      <w:r>
        <w:rPr>
          <w:rFonts w:hint="default" w:ascii="Times New Roman" w:hAnsi="Times New Roman" w:eastAsia="仿宋_GB2312" w:cs="Times New Roman"/>
          <w:bCs/>
          <w:sz w:val="32"/>
          <w:szCs w:val="32"/>
        </w:rPr>
        <w:t>万元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公务用车购置及运行维护费</w:t>
      </w:r>
      <w:r>
        <w:rPr>
          <w:rFonts w:hint="default" w:ascii="Times New Roman" w:hAnsi="Times New Roman" w:eastAsia="仿宋_GB2312" w:cs="Times New Roman"/>
          <w:bCs/>
          <w:sz w:val="32"/>
          <w:szCs w:val="32"/>
          <w:lang w:val="en-US" w:eastAsia="zh-CN"/>
        </w:rPr>
        <w:t>93万元</w:t>
      </w:r>
      <w:r>
        <w:rPr>
          <w:rFonts w:hint="default" w:ascii="Times New Roman" w:hAnsi="Times New Roman" w:eastAsia="仿宋_GB2312" w:cs="Times New Roman"/>
          <w:bCs/>
          <w:sz w:val="32"/>
          <w:szCs w:val="32"/>
          <w:lang w:eastAsia="zh-CN"/>
        </w:rPr>
        <w:t>（其中，公务用车购置费</w:t>
      </w:r>
      <w:r>
        <w:rPr>
          <w:rFonts w:hint="default" w:ascii="Times New Roman" w:hAnsi="Times New Roman" w:eastAsia="仿宋_GB2312" w:cs="Times New Roman"/>
          <w:bCs/>
          <w:sz w:val="32"/>
          <w:szCs w:val="32"/>
          <w:lang w:val="en-US" w:eastAsia="zh-CN"/>
        </w:rPr>
        <w:t>0万元，公务用车</w:t>
      </w:r>
      <w:r>
        <w:rPr>
          <w:rFonts w:hint="default" w:ascii="Times New Roman" w:hAnsi="Times New Roman" w:eastAsia="仿宋_GB2312" w:cs="Times New Roman"/>
          <w:bCs/>
          <w:sz w:val="32"/>
          <w:szCs w:val="32"/>
        </w:rPr>
        <w:t>运行维护费</w:t>
      </w:r>
      <w:r>
        <w:rPr>
          <w:rFonts w:hint="default" w:ascii="Times New Roman" w:hAnsi="Times New Roman" w:eastAsia="仿宋_GB2312" w:cs="Times New Roman"/>
          <w:bCs/>
          <w:sz w:val="32"/>
          <w:szCs w:val="32"/>
          <w:lang w:val="en-US" w:eastAsia="zh-CN"/>
        </w:rPr>
        <w:t>93</w:t>
      </w:r>
      <w:r>
        <w:rPr>
          <w:rFonts w:hint="default" w:ascii="Times New Roman" w:hAnsi="Times New Roman" w:eastAsia="仿宋_GB2312" w:cs="Times New Roman"/>
          <w:bCs/>
          <w:sz w:val="32"/>
          <w:szCs w:val="32"/>
          <w:lang w:eastAsia="zh-CN"/>
        </w:rPr>
        <w:t>万元）</w:t>
      </w:r>
      <w:r>
        <w:rPr>
          <w:rFonts w:hint="default" w:ascii="Times New Roman" w:hAnsi="Times New Roman" w:eastAsia="仿宋_GB2312" w:cs="Times New Roman"/>
          <w:bCs/>
          <w:sz w:val="32"/>
          <w:szCs w:val="32"/>
        </w:rPr>
        <w:t>，为</w:t>
      </w:r>
      <w:r>
        <w:rPr>
          <w:rFonts w:hint="default" w:ascii="Times New Roman" w:hAnsi="Times New Roman" w:eastAsia="仿宋_GB2312" w:cs="Times New Roman"/>
          <w:bCs/>
          <w:sz w:val="32"/>
          <w:szCs w:val="32"/>
          <w:lang w:eastAsia="zh-CN"/>
        </w:rPr>
        <w:t>年初</w:t>
      </w:r>
      <w:r>
        <w:rPr>
          <w:rFonts w:hint="default" w:ascii="Times New Roman" w:hAnsi="Times New Roman" w:eastAsia="仿宋_GB2312" w:cs="Times New Roman"/>
          <w:bCs/>
          <w:sz w:val="32"/>
          <w:szCs w:val="32"/>
        </w:rPr>
        <w:t>预算的</w:t>
      </w:r>
      <w:r>
        <w:rPr>
          <w:rFonts w:hint="default" w:ascii="Times New Roman" w:hAnsi="Times New Roman" w:eastAsia="仿宋_GB2312" w:cs="Times New Roman"/>
          <w:bCs/>
          <w:sz w:val="32"/>
          <w:szCs w:val="32"/>
          <w:lang w:val="en-US" w:eastAsia="zh-CN"/>
        </w:rPr>
        <w:t>50.27</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，对比上年下降</w:t>
      </w:r>
      <w:r>
        <w:rPr>
          <w:rFonts w:hint="default" w:ascii="Times New Roman" w:hAnsi="Times New Roman" w:eastAsia="仿宋_GB2312" w:cs="Times New Roman"/>
          <w:bCs/>
          <w:sz w:val="32"/>
          <w:szCs w:val="32"/>
          <w:lang w:val="en-US" w:eastAsia="zh-CN"/>
        </w:rPr>
        <w:t>36.73%</w:t>
      </w:r>
      <w:r>
        <w:rPr>
          <w:rFonts w:hint="default" w:ascii="Times New Roman" w:hAnsi="Times New Roman" w:eastAsia="仿宋_GB2312" w:cs="Times New Roman"/>
          <w:bCs/>
          <w:sz w:val="32"/>
          <w:szCs w:val="32"/>
        </w:rPr>
        <w:t>。</w:t>
      </w:r>
    </w:p>
    <w:p w14:paraId="4C9C76AC">
      <w:pPr>
        <w:keepNext w:val="0"/>
        <w:keepLines w:val="0"/>
        <w:pageBreakBefore w:val="0"/>
        <w:kinsoku/>
        <w:wordWrap/>
        <w:autoSpaceDE/>
        <w:autoSpaceDN/>
        <w:bidi w:val="0"/>
        <w:spacing w:line="600" w:lineRule="exact"/>
        <w:ind w:firstLine="640" w:firstLineChars="200"/>
        <w:jc w:val="both"/>
        <w:textAlignment w:val="auto"/>
        <w:rPr>
          <w:rFonts w:hint="default" w:ascii="Times New Roman" w:hAnsi="Times New Roman" w:cs="Times New Roman"/>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BjNDg2ODk5ZDhjYWU3OWRmY2Y0ZGFiZmMxZWZhNjUifQ=="/>
  </w:docVars>
  <w:rsids>
    <w:rsidRoot w:val="00DD2F0D"/>
    <w:rsid w:val="00144F2E"/>
    <w:rsid w:val="001C40D1"/>
    <w:rsid w:val="00204A98"/>
    <w:rsid w:val="00250C3B"/>
    <w:rsid w:val="002C00AC"/>
    <w:rsid w:val="002D6C36"/>
    <w:rsid w:val="00353E30"/>
    <w:rsid w:val="003A1A87"/>
    <w:rsid w:val="00401F59"/>
    <w:rsid w:val="00611662"/>
    <w:rsid w:val="00633960"/>
    <w:rsid w:val="006B1C7B"/>
    <w:rsid w:val="006C3949"/>
    <w:rsid w:val="00724510"/>
    <w:rsid w:val="00766B8B"/>
    <w:rsid w:val="00811347"/>
    <w:rsid w:val="0086425F"/>
    <w:rsid w:val="0089448E"/>
    <w:rsid w:val="00897F28"/>
    <w:rsid w:val="008C12B3"/>
    <w:rsid w:val="008C404E"/>
    <w:rsid w:val="008D2D34"/>
    <w:rsid w:val="00945333"/>
    <w:rsid w:val="00993F96"/>
    <w:rsid w:val="00B71E30"/>
    <w:rsid w:val="00C3593A"/>
    <w:rsid w:val="00D93167"/>
    <w:rsid w:val="00DD2F0D"/>
    <w:rsid w:val="00DF6CEC"/>
    <w:rsid w:val="00EE2A19"/>
    <w:rsid w:val="00EF364B"/>
    <w:rsid w:val="058C6320"/>
    <w:rsid w:val="08224441"/>
    <w:rsid w:val="08701336"/>
    <w:rsid w:val="08D30306"/>
    <w:rsid w:val="0B607A59"/>
    <w:rsid w:val="0BE15F86"/>
    <w:rsid w:val="0C66758A"/>
    <w:rsid w:val="11036B48"/>
    <w:rsid w:val="11C1146C"/>
    <w:rsid w:val="13661776"/>
    <w:rsid w:val="14D51D5E"/>
    <w:rsid w:val="198423B6"/>
    <w:rsid w:val="1B857BBC"/>
    <w:rsid w:val="1BAE60D9"/>
    <w:rsid w:val="212B0D91"/>
    <w:rsid w:val="2530542F"/>
    <w:rsid w:val="25C6579A"/>
    <w:rsid w:val="25E83B90"/>
    <w:rsid w:val="26BE3D86"/>
    <w:rsid w:val="2889658F"/>
    <w:rsid w:val="2A876CB2"/>
    <w:rsid w:val="2CB312E2"/>
    <w:rsid w:val="2FAF4375"/>
    <w:rsid w:val="312249D4"/>
    <w:rsid w:val="32505117"/>
    <w:rsid w:val="334E0AE8"/>
    <w:rsid w:val="355C0961"/>
    <w:rsid w:val="3914337A"/>
    <w:rsid w:val="39C92B54"/>
    <w:rsid w:val="3A153215"/>
    <w:rsid w:val="3FE53262"/>
    <w:rsid w:val="428568CB"/>
    <w:rsid w:val="43DA4E9A"/>
    <w:rsid w:val="44ED5B7F"/>
    <w:rsid w:val="459E1E59"/>
    <w:rsid w:val="466631E3"/>
    <w:rsid w:val="46A30225"/>
    <w:rsid w:val="4B037E34"/>
    <w:rsid w:val="4D4F5A3A"/>
    <w:rsid w:val="4DBF4EC6"/>
    <w:rsid w:val="4DCE5F5E"/>
    <w:rsid w:val="52B50E4B"/>
    <w:rsid w:val="56584292"/>
    <w:rsid w:val="57055ABA"/>
    <w:rsid w:val="611027D9"/>
    <w:rsid w:val="64AA2690"/>
    <w:rsid w:val="65EE45C9"/>
    <w:rsid w:val="6BE92B7D"/>
    <w:rsid w:val="6C272829"/>
    <w:rsid w:val="702837FE"/>
    <w:rsid w:val="70B14DA6"/>
    <w:rsid w:val="74124B9F"/>
    <w:rsid w:val="79430BEF"/>
    <w:rsid w:val="7A450FB0"/>
    <w:rsid w:val="7D2F1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rPr>
      <w:rFonts w:eastAsia="宋体"/>
      <w:sz w:val="21"/>
      <w:szCs w:val="24"/>
    </w:r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toc 1"/>
    <w:next w:val="1"/>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6">
    <w:name w:val="Title"/>
    <w:basedOn w:val="1"/>
    <w:next w:val="1"/>
    <w:link w:val="11"/>
    <w:qFormat/>
    <w:uiPriority w:val="10"/>
    <w:pPr>
      <w:spacing w:before="240" w:after="60"/>
      <w:jc w:val="center"/>
      <w:outlineLvl w:val="0"/>
    </w:pPr>
    <w:rPr>
      <w:rFonts w:ascii="Cambria" w:hAnsi="Cambria" w:eastAsia="宋体" w:cs="黑体"/>
      <w:b/>
      <w:bCs/>
      <w:sz w:val="32"/>
      <w:szCs w:val="32"/>
    </w:rPr>
  </w:style>
  <w:style w:type="character" w:customStyle="1" w:styleId="9">
    <w:name w:val="标题 1 Char"/>
    <w:basedOn w:val="8"/>
    <w:link w:val="2"/>
    <w:qFormat/>
    <w:uiPriority w:val="9"/>
    <w:rPr>
      <w:rFonts w:ascii="宋体" w:hAnsi="宋体" w:eastAsia="宋体" w:cs="宋体"/>
      <w:kern w:val="36"/>
      <w:sz w:val="48"/>
      <w:szCs w:val="48"/>
    </w:rPr>
  </w:style>
  <w:style w:type="character" w:customStyle="1" w:styleId="10">
    <w:name w:val="lyym3"/>
    <w:basedOn w:val="8"/>
    <w:qFormat/>
    <w:uiPriority w:val="0"/>
  </w:style>
  <w:style w:type="character" w:customStyle="1" w:styleId="11">
    <w:name w:val="标题 Char"/>
    <w:basedOn w:val="8"/>
    <w:link w:val="6"/>
    <w:qFormat/>
    <w:uiPriority w:val="10"/>
    <w:rPr>
      <w:rFonts w:ascii="Cambria" w:hAnsi="Cambria" w:eastAsia="宋体" w:cs="黑体"/>
      <w:b/>
      <w:bCs/>
      <w:kern w:val="2"/>
      <w:sz w:val="32"/>
      <w:szCs w:val="32"/>
    </w:rPr>
  </w:style>
  <w:style w:type="paragraph" w:customStyle="1" w:styleId="12">
    <w:name w:val="列出段落1"/>
    <w:basedOn w:val="1"/>
    <w:qFormat/>
    <w:uiPriority w:val="99"/>
    <w:pPr>
      <w:ind w:firstLine="420" w:firstLineChars="200"/>
    </w:pPr>
  </w:style>
  <w:style w:type="paragraph" w:customStyle="1" w:styleId="13">
    <w:name w:val="新正文"/>
    <w:basedOn w:val="1"/>
    <w:qFormat/>
    <w:uiPriority w:val="99"/>
    <w:pPr>
      <w:spacing w:line="610" w:lineRule="exact"/>
      <w:ind w:firstLine="880" w:firstLineChars="200"/>
    </w:pPr>
    <w:rPr>
      <w:rFonts w:eastAsia="仿宋_GB2312"/>
      <w:sz w:val="32"/>
    </w:rPr>
  </w:style>
  <w:style w:type="paragraph" w:customStyle="1" w:styleId="14">
    <w:name w:val="表格文字"/>
    <w:basedOn w:val="1"/>
    <w:qFormat/>
    <w:uiPriority w:val="0"/>
    <w:pPr>
      <w:autoSpaceDE w:val="0"/>
      <w:autoSpaceDN w:val="0"/>
      <w:jc w:val="left"/>
    </w:pPr>
    <w:rPr>
      <w:rFonts w:ascii="仿宋" w:hAnsi="仿宋" w:eastAsia="仿宋" w:cs="仿宋"/>
      <w:bCs/>
      <w:spacing w:val="10"/>
      <w:kern w:val="0"/>
      <w:sz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2018</Words>
  <Characters>2250</Characters>
  <Lines>15</Lines>
  <Paragraphs>4</Paragraphs>
  <TotalTime>6</TotalTime>
  <ScaleCrop>false</ScaleCrop>
  <LinksUpToDate>false</LinksUpToDate>
  <CharactersWithSpaces>2251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2018-07-13T01:06:00Z</dcterms:created>
  <dc:creator>Administrator</dc:creator>
  <cp:lastModifiedBy>午夜的挪威</cp:lastModifiedBy>
  <cp:lastPrinted>2022-09-13T02:53:00Z</cp:lastPrinted>
  <dcterms:modified xsi:type="dcterms:W3CDTF">2025-10-13T07:15:04Z</dcterms:modified>
  <dc:title>2019年转移支付情况说明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23F7E3E0334943868C17B67C25A940F4_12</vt:lpwstr>
  </property>
</Properties>
</file>